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Formal Partnership Brief</w:t>
      </w:r>
    </w:p>
    <w:p>
      <w:pPr>
        <w:spacing w:after="360"/>
      </w:pPr>
      <w:r>
        <w:rPr>
          <w:i/>
          <w:iCs/>
          <w:color w:val="555555"/>
          <w:sz w:val="24"/>
          <w:szCs w:val="24"/>
        </w:rPr>
        <w:t xml:space="preserve">Omni-Dromenon Engine × Christopher Notarnicola</w:t>
      </w:r>
    </w:p>
    <w:p>
      <w:pPr>
        <w:spacing w:after="240"/>
      </w:pPr>
      <w:r>
        <w:rPr>
          <w:color w:val="7f8c8d"/>
          <w:sz w:val="20"/>
          <w:szCs w:val="20"/>
        </w:rPr>
        <w:t xml:space="preserve">December 2025</w:t>
      </w:r>
    </w:p>
    <w:p>
      <w:pPr>
        <w:pStyle w:val="Heading1"/>
      </w:pPr>
      <w:r>
        <w:t xml:space="preserve">Parties</w:t>
      </w:r>
    </w:p>
    <w:p>
      <w:pPr>
        <w:spacing w:after="200" w:line="276"/>
      </w:pPr>
      <w:r>
        <w:t xml:space="preserve">Principal Investigator / Systems Architect: Multimedia systems architect with MFA in Creative Writing (Florida Atlantic University) and BA in Literature (CUNY CSI), operating as independent artist and researcher.</w:t>
      </w:r>
    </w:p>
    <w:p>
      <w:pPr>
        <w:spacing w:after="200" w:line="276"/>
      </w:pPr>
      <w:r>
        <w:t xml:space="preserve">Proposed Narrative Co-Architect: Christopher Notarnicola, USMC veteran, MFA graduate (Florida Atlantic University), published fiction writer with work appearing in American Short Fiction, AGNI, Bellevue Literary Review, Image, Best American Essays, Chicago Quarterly Review, River Teeth, The Southampton Review, and others.</w:t>
      </w:r>
    </w:p>
    <w:p>
      <w:pPr>
        <w:pStyle w:val="Heading1"/>
      </w:pPr>
      <w:r>
        <w:t xml:space="preserve">Role Definition</w:t>
      </w:r>
    </w:p>
    <w:p>
      <w:pPr>
        <w:spacing w:after="200" w:line="276"/>
      </w:pPr>
      <w:r>
        <w:t xml:space="preserve">Notarnicola would serve as Narrative Co-Architect, not as a conventional commissioned writer. This role involves foundational intellectual partnership: defining how future writers, dramaturgists, and storytellers collaborate with the Omni-Dromenon Engine system. The position carries explicit credit on all system documentation, repositories, publications, and grant applications.</w:t>
      </w:r>
    </w:p>
    <w:p>
      <w:pPr>
        <w:pStyle w:val="Heading1"/>
      </w:pPr>
      <w:r>
        <w:t xml:space="preserve">Timeline and Phases</w:t>
      </w:r>
    </w:p>
    <w:p>
      <w:pPr>
        <w:pStyle w:val="Heading2"/>
      </w:pPr>
      <w:r>
        <w:t xml:space="preserve">Phase 1: Narrative Problem-Solving (Weeks 1–3)</w:t>
      </w:r>
    </w:p>
    <w:p>
      <w:pPr>
        <w:pStyle w:val="ListParagraph"/>
        <w:numPr>
          <w:ilvl w:val="0"/>
          <w:numId w:val="2"/>
        </w:numPr>
        <w:spacing w:after="120" w:line="276"/>
      </w:pPr>
      <w:r>
        <w:t xml:space="preserve">Articulate core dramaturgical questions</w:t>
      </w:r>
    </w:p>
    <w:p>
      <w:pPr>
        <w:pStyle w:val="ListParagraph"/>
        <w:numPr>
          <w:ilvl w:val="0"/>
          <w:numId w:val="2"/>
        </w:numPr>
        <w:spacing w:after="120" w:line="276"/>
      </w:pPr>
      <w:r>
        <w:t xml:space="preserve">Develop shared vocabulary and frameworks</w:t>
      </w:r>
    </w:p>
    <w:p>
      <w:pPr>
        <w:pStyle w:val="ListParagraph"/>
        <w:numPr>
          <w:ilvl w:val="0"/>
          <w:numId w:val="2"/>
        </w:numPr>
        <w:spacing w:after="120" w:line="276"/>
      </w:pPr>
      <w:r>
        <w:t xml:space="preserve">Produce Narrative Dramaturgical Charter</w:t>
      </w:r>
    </w:p>
    <w:p>
      <w:pPr>
        <w:pStyle w:val="ListParagraph"/>
        <w:numPr>
          <w:ilvl w:val="0"/>
          <w:numId w:val="2"/>
        </w:numPr>
        <w:spacing w:after="120" w:line="276"/>
      </w:pPr>
      <w:r>
        <w:t xml:space="preserve">Format: Phone calls, voice memos, shared documents</w:t>
      </w:r>
    </w:p>
    <w:p>
      <w:pPr>
        <w:pStyle w:val="Heading2"/>
      </w:pPr>
      <w:r>
        <w:t xml:space="preserve">Phase 2: Prototype Development (Weeks 4–11)</w:t>
      </w:r>
    </w:p>
    <w:p>
      <w:pPr>
        <w:pStyle w:val="ListParagraph"/>
        <w:numPr>
          <w:ilvl w:val="0"/>
          <w:numId w:val="2"/>
        </w:numPr>
        <w:spacing w:after="120" w:line="276"/>
      </w:pPr>
      <w:r>
        <w:t xml:space="preserve">Implement one or more narrative prototypes</w:t>
      </w:r>
    </w:p>
    <w:p>
      <w:pPr>
        <w:pStyle w:val="ListParagraph"/>
        <w:numPr>
          <w:ilvl w:val="0"/>
          <w:numId w:val="2"/>
        </w:numPr>
        <w:spacing w:after="120" w:line="276"/>
      </w:pPr>
      <w:r>
        <w:t xml:space="preserve">Options include: classical text adaptation, original participatory work (25–40 min), experimental micro-pieces (5–10 min each), or Digital Tomb of the Unknowns adaptation</w:t>
      </w:r>
    </w:p>
    <w:p>
      <w:pPr>
        <w:pStyle w:val="ListParagraph"/>
        <w:numPr>
          <w:ilvl w:val="0"/>
          <w:numId w:val="2"/>
        </w:numPr>
        <w:spacing w:after="120" w:line="276"/>
      </w:pPr>
      <w:r>
        <w:t xml:space="preserve">Conduct small audience testing sessions (10–50 participants)</w:t>
      </w:r>
    </w:p>
    <w:p>
      <w:pPr>
        <w:pStyle w:val="ListParagraph"/>
        <w:numPr>
          <w:ilvl w:val="0"/>
          <w:numId w:val="2"/>
        </w:numPr>
        <w:spacing w:after="120" w:line="276"/>
      </w:pPr>
      <w:r>
        <w:t xml:space="preserve">Iterative writing, parameterization, and synthesis</w:t>
      </w:r>
    </w:p>
    <w:p>
      <w:pPr>
        <w:pStyle w:val="Heading2"/>
      </w:pPr>
      <w:r>
        <w:t xml:space="preserve">Phase 3: Codification (Weeks 12–16)</w:t>
      </w:r>
    </w:p>
    <w:p>
      <w:pPr>
        <w:pStyle w:val="ListParagraph"/>
        <w:numPr>
          <w:ilvl w:val="0"/>
          <w:numId w:val="2"/>
        </w:numPr>
        <w:spacing w:after="120" w:line="276"/>
      </w:pPr>
      <w:r>
        <w:t xml:space="preserve">Extract and formalize derived principles</w:t>
      </w:r>
    </w:p>
    <w:p>
      <w:pPr>
        <w:pStyle w:val="ListParagraph"/>
        <w:numPr>
          <w:ilvl w:val="0"/>
          <w:numId w:val="2"/>
        </w:numPr>
        <w:spacing w:after="120" w:line="276"/>
      </w:pPr>
      <w:r>
        <w:t xml:space="preserve">Document parameter mapping methodology</w:t>
      </w:r>
    </w:p>
    <w:p>
      <w:pPr>
        <w:pStyle w:val="ListParagraph"/>
        <w:numPr>
          <w:ilvl w:val="0"/>
          <w:numId w:val="2"/>
        </w:numPr>
        <w:spacing w:after="120" w:line="276"/>
      </w:pPr>
      <w:r>
        <w:t xml:space="preserve">Identify narrative failure modes</w:t>
      </w:r>
    </w:p>
    <w:p>
      <w:pPr>
        <w:pStyle w:val="ListParagraph"/>
        <w:numPr>
          <w:ilvl w:val="0"/>
          <w:numId w:val="2"/>
        </w:numPr>
        <w:spacing w:after="120" w:line="276"/>
      </w:pPr>
      <w:r>
        <w:t xml:space="preserve">Define governance structures for performer/writer authority</w:t>
      </w:r>
    </w:p>
    <w:p>
      <w:pPr>
        <w:pStyle w:val="ListParagraph"/>
        <w:numPr>
          <w:ilvl w:val="0"/>
          <w:numId w:val="2"/>
        </w:numPr>
        <w:spacing w:after="120" w:line="276"/>
      </w:pPr>
      <w:r>
        <w:t xml:space="preserve">Co-author Narrative Design Handbook (15–20 pages)</w:t>
      </w:r>
    </w:p>
    <w:p>
      <w:pPr>
        <w:pStyle w:val="Heading1"/>
      </w:pPr>
      <w:r>
        <w:t xml:space="preserve">Compensation Structure</w:t>
      </w:r>
    </w:p>
    <w:p>
      <w:pPr>
        <w:spacing w:after="120"/>
      </w:pPr>
      <w:r>
        <w:rPr>
          <w:b/>
          <w:bCs/>
        </w:rPr>
        <w:t xml:space="preserve">Development Work: </w:t>
      </w:r>
      <w:r>
        <w:t xml:space="preserve">~$12,000</w:t>
      </w:r>
    </w:p>
    <w:p>
      <w:pPr>
        <w:spacing w:after="120"/>
      </w:pPr>
      <w:r>
        <w:rPr>
          <w:b/>
          <w:bCs/>
        </w:rPr>
        <w:t xml:space="preserve">Performance/Premiere Participation: </w:t>
      </w:r>
      <w:r>
        <w:t xml:space="preserve">~$2,000</w:t>
      </w:r>
    </w:p>
    <w:p>
      <w:pPr>
        <w:spacing w:after="120"/>
      </w:pPr>
      <w:r>
        <w:rPr>
          <w:b/>
          <w:bCs/>
        </w:rPr>
        <w:t xml:space="preserve">Documentation/Handbook Co-Authorship: </w:t>
      </w:r>
      <w:r>
        <w:t xml:space="preserve">~$2,000 or 50% royalty share</w:t>
      </w:r>
    </w:p>
    <w:p>
      <w:pPr>
        <w:spacing w:after="240"/>
      </w:pPr>
      <w:r>
        <w:rPr>
          <w:b/>
          <w:bCs/>
          <w:sz w:val="24"/>
          <w:szCs w:val="24"/>
        </w:rPr>
        <w:t xml:space="preserve">Total Target: $16,000–$20,000</w:t>
      </w:r>
    </w:p>
    <w:p>
      <w:pPr>
        <w:spacing w:after="200" w:line="276"/>
      </w:pPr>
      <w:r>
        <w:t xml:space="preserve">Note: Initial Phase 1 and early Phase 2 work operates as foundational pre-funded collaboration, with retroactive compensation triggered upon grant funding. This model recognizes that the dramaturgical framework and prototypes are precisely what will make the system fundable.</w:t>
      </w:r>
    </w:p>
    <w:p>
      <w:pPr>
        <w:pStyle w:val="Heading1"/>
      </w:pPr>
      <w:r>
        <w:t xml:space="preserve">Working Format</w:t>
      </w:r>
    </w:p>
    <w:p>
      <w:pPr>
        <w:pStyle w:val="ListParagraph"/>
        <w:numPr>
          <w:ilvl w:val="0"/>
          <w:numId w:val="2"/>
        </w:numPr>
        <w:spacing w:after="120" w:line="276"/>
      </w:pPr>
      <w:r>
        <w:t xml:space="preserve">Weekly or bi-weekly calls (phase-dependent)</w:t>
      </w:r>
    </w:p>
    <w:p>
      <w:pPr>
        <w:pStyle w:val="ListParagraph"/>
        <w:numPr>
          <w:ilvl w:val="0"/>
          <w:numId w:val="2"/>
        </w:numPr>
        <w:spacing w:after="120" w:line="276"/>
      </w:pPr>
      <w:r>
        <w:t xml:space="preserve">Shared documentation environments (Google Docs, GitHub)</w:t>
      </w:r>
    </w:p>
    <w:p>
      <w:pPr>
        <w:pStyle w:val="ListParagraph"/>
        <w:numPr>
          <w:ilvl w:val="0"/>
          <w:numId w:val="2"/>
        </w:numPr>
        <w:spacing w:after="120" w:line="276"/>
      </w:pPr>
      <w:r>
        <w:t xml:space="preserve">Direct prototype access for experiential writing/revision</w:t>
      </w:r>
    </w:p>
    <w:p>
      <w:pPr>
        <w:pStyle w:val="ListParagraph"/>
        <w:numPr>
          <w:ilvl w:val="0"/>
          <w:numId w:val="2"/>
        </w:numPr>
        <w:spacing w:after="120" w:line="276"/>
      </w:pPr>
      <w:r>
        <w:t xml:space="preserve">Recorded audience-testing sessions with optional live attendance</w:t>
      </w:r>
    </w:p>
    <w:p>
      <w:pPr>
        <w:pStyle w:val="ListParagraph"/>
        <w:numPr>
          <w:ilvl w:val="0"/>
          <w:numId w:val="2"/>
        </w:numPr>
        <w:spacing w:after="120" w:line="276"/>
      </w:pPr>
      <w:r>
        <w:t xml:space="preserve">Schedule accommodates creative rhythm during Notarnicola's time in the Carolinas</w:t>
      </w:r>
    </w:p>
    <w:p>
      <w:pPr>
        <w:pStyle w:val="Heading1"/>
      </w:pPr>
      <w:r>
        <w:t xml:space="preserve">Deliverables</w:t>
      </w:r>
    </w:p>
    <w:p>
      <w:pPr>
        <w:pStyle w:val="ListParagraph"/>
        <w:numPr>
          <w:ilvl w:val="0"/>
          <w:numId w:val="2"/>
        </w:numPr>
        <w:spacing w:after="120" w:line="276"/>
      </w:pPr>
      <w:r>
        <w:t xml:space="preserve">Narrative Dramaturgical Charter (end of Phase 1)</w:t>
      </w:r>
    </w:p>
    <w:p>
      <w:pPr>
        <w:pStyle w:val="ListParagraph"/>
        <w:numPr>
          <w:ilvl w:val="0"/>
          <w:numId w:val="2"/>
        </w:numPr>
        <w:spacing w:after="120" w:line="276"/>
      </w:pPr>
      <w:r>
        <w:t xml:space="preserve">One or more audience-tested narrative prototypes (end of Phase 2)</w:t>
      </w:r>
    </w:p>
    <w:p>
      <w:pPr>
        <w:pStyle w:val="ListParagraph"/>
        <w:numPr>
          <w:ilvl w:val="0"/>
          <w:numId w:val="2"/>
        </w:numPr>
        <w:spacing w:after="120" w:line="276"/>
      </w:pPr>
      <w:r>
        <w:t xml:space="preserve">Co-authored Narrative Design Handbook for Participatory Performance (end of Phase 3)</w:t>
      </w:r>
    </w:p>
    <w:p>
      <w:pPr>
        <w:pStyle w:val="Heading1"/>
      </w:pPr>
      <w:r>
        <w:t xml:space="preserve">Credit and Attribution</w:t>
      </w:r>
    </w:p>
    <w:p>
      <w:pPr>
        <w:spacing w:after="200" w:line="276"/>
      </w:pPr>
      <w:r>
        <w:t xml:space="preserve">Christopher Notarnicola will receive explicit credit as "Narrative Architect" on: all system documentation, GitHub repositories and code comments, academic publications and conference presentations, grant applications and reports, promotional and press materials.</w:t>
      </w:r>
    </w:p>
    <w:p>
      <w:pPr>
        <w:pStyle w:val="Heading1"/>
      </w:pPr>
      <w:r>
        <w:t xml:space="preserve">Immediate Next Step</w:t>
      </w:r>
    </w:p>
    <w:p>
      <w:pPr>
        <w:spacing w:after="200" w:line="276"/>
      </w:pPr>
      <w:r>
        <w:t xml:space="preserve">A single 45-minute conversation between both parties to: walk through the system conceptually, demonstrate the working prototype, explore dramaturgical questions the engine raises, and define Phase 1 scope if proceeding.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8d"/>
        <w:sz w:val="18"/>
        <w:szCs w:val="18"/>
      </w:rPr>
      <w:t xml:space="preserve">FORMAL PARTNERSHIP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left"/>
    </w:pPr>
    <w:rPr>
      <w:rFonts w:ascii="Arial" w:cs="Arial" w:eastAsia="Arial" w:hAnsi="Arial"/>
      <w:b/>
      <w:bCs/>
      <w:color w:val="1a1a1a"/>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240" w:after="8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2025-12-11T20:32:32.465Z</dcterms:created>
  <dcterms:modified xsi:type="dcterms:W3CDTF">2025-12-11T20:32:32.465Z</dcterms:modified>
</cp:coreProperties>
</file>

<file path=docProps/custom.xml><?xml version="1.0" encoding="utf-8"?>
<Properties xmlns="http://schemas.openxmlformats.org/officeDocument/2006/custom-properties" xmlns:vt="http://schemas.openxmlformats.org/officeDocument/2006/docPropsVTypes"/>
</file>