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Omni-Dromenon Engine</w:t>
      </w:r>
    </w:p>
    <w:p>
      <w:pPr>
        <w:spacing w:after="120"/>
      </w:pPr>
      <w:r>
        <w:rPr>
          <w:color w:val="34495e"/>
          <w:sz w:val="28"/>
          <w:szCs w:val="28"/>
        </w:rPr>
        <w:t xml:space="preserve">Comprehensive Proposal Dossier</w:t>
      </w:r>
    </w:p>
    <w:p>
      <w:pPr>
        <w:spacing w:after="120"/>
      </w:pPr>
      <w:r>
        <w:rPr>
          <w:i/>
          <w:iCs/>
          <w:color w:val="555555"/>
          <w:sz w:val="24"/>
          <w:szCs w:val="24"/>
        </w:rPr>
        <w:t xml:space="preserve">Narrative Co-Architect Partnership</w:t>
      </w:r>
    </w:p>
    <w:p>
      <w:pPr>
        <w:spacing w:after="480"/>
      </w:pPr>
      <w:r>
        <w:rPr>
          <w:color w:val="7f8c8d"/>
          <w:sz w:val="20"/>
          <w:szCs w:val="20"/>
        </w:rPr>
        <w:t xml:space="preserve">December 2025</w:t>
      </w:r>
    </w:p>
    <w:p>
      <w:pPr>
        <w:pStyle w:val="Heading1"/>
      </w:pPr>
      <w:r>
        <w:t xml:space="preserve">1. Context and Rationale</w:t>
      </w:r>
    </w:p>
    <w:p>
      <w:pPr>
        <w:pStyle w:val="Heading2"/>
      </w:pPr>
      <w:r>
        <w:t xml:space="preserve">1.1 Current Project Status</w:t>
      </w:r>
    </w:p>
    <w:p>
      <w:pPr>
        <w:spacing w:after="200" w:line="276"/>
      </w:pPr>
      <w:r>
        <w:t xml:space="preserve">The Omni-Dromenon Engine is an advanced real-time performance platform developed by a multimedia systems architect. As of December 2025, the project has achieved substantial documentation and technical validation:</w:t>
      </w:r>
    </w:p>
    <w:p>
      <w:pPr>
        <w:pStyle w:val="ListParagraph"/>
        <w:numPr>
          <w:ilvl w:val="0"/>
          <w:numId w:val="2"/>
        </w:numPr>
        <w:spacing w:after="120" w:line="276"/>
      </w:pPr>
      <w:r>
        <w:t xml:space="preserve">Approximately 70 pages of documentation distributed across 47 project files</w:t>
      </w:r>
    </w:p>
    <w:p>
      <w:pPr>
        <w:pStyle w:val="ListParagraph"/>
        <w:numPr>
          <w:ilvl w:val="0"/>
          <w:numId w:val="2"/>
        </w:numPr>
        <w:spacing w:after="120" w:line="276"/>
      </w:pPr>
      <w:r>
        <w:t xml:space="preserve">Philosophical frameworks, technical white papers, strategic analyses, precedent studies, and architectural specifications</w:t>
      </w:r>
    </w:p>
    <w:p>
      <w:pPr>
        <w:pStyle w:val="ListParagraph"/>
        <w:numPr>
          <w:ilvl w:val="0"/>
          <w:numId w:val="2"/>
        </w:numPr>
        <w:spacing w:after="120" w:line="276"/>
      </w:pPr>
      <w:r>
        <w:t xml:space="preserve">Functioning proof-of-concept prototype with validated sub-100ms latency (P95: 2ms)</w:t>
      </w:r>
    </w:p>
    <w:p>
      <w:pPr>
        <w:pStyle w:val="ListParagraph"/>
        <w:numPr>
          <w:ilvl w:val="0"/>
          <w:numId w:val="2"/>
        </w:numPr>
        <w:spacing w:after="120" w:line="276"/>
      </w:pPr>
      <w:r>
        <w:t xml:space="preserve">Complete Node.js server infrastructure with real-time consensus algorithms</w:t>
      </w:r>
    </w:p>
    <w:p>
      <w:pPr>
        <w:pStyle w:val="ListParagraph"/>
        <w:numPr>
          <w:ilvl w:val="0"/>
          <w:numId w:val="2"/>
        </w:numPr>
        <w:spacing w:after="120" w:line="276"/>
      </w:pPr>
      <w:r>
        <w:t xml:space="preserve">Audience and performer interfaces with benchmark tools</w:t>
      </w:r>
    </w:p>
    <w:p>
      <w:pPr>
        <w:pStyle w:val="ListParagraph"/>
        <w:numPr>
          <w:ilvl w:val="0"/>
          <w:numId w:val="2"/>
        </w:numPr>
        <w:spacing w:after="120" w:line="276"/>
      </w:pPr>
      <w:r>
        <w:t xml:space="preserve">Organized GitHub ecosystem comprising 11 modular repositories</w:t>
      </w:r>
    </w:p>
    <w:p>
      <w:pPr>
        <w:pStyle w:val="ListParagraph"/>
        <w:numPr>
          <w:ilvl w:val="0"/>
          <w:numId w:val="2"/>
        </w:numPr>
        <w:spacing w:after="120" w:line="276"/>
      </w:pPr>
      <w:r>
        <w:t xml:space="preserve">100% message delivery rate, zero errors during 50+ concurrent user testing</w:t>
      </w:r>
    </w:p>
    <w:p>
      <w:pPr>
        <w:spacing w:after="200" w:line="276"/>
      </w:pPr>
      <w:r>
        <w:t xml:space="preserve">Despite this technical foundation, the project has not yet produced a public-facing performance, publication, or production. This gap motivates the proposed collaboration.</w:t>
      </w:r>
    </w:p>
    <w:p>
      <w:pPr>
        <w:pStyle w:val="Heading2"/>
      </w:pPr>
      <w:r>
        <w:t xml:space="preserve">1.2 The Case for Christopher Notarnicola</w:t>
      </w:r>
    </w:p>
    <w:p>
      <w:pPr>
        <w:spacing w:after="200" w:line="276"/>
      </w:pPr>
      <w:r>
        <w:t xml:space="preserve">Christopher Notarnicola brings complementary strengths essential to moving from technical infrastructure to realized artistic work. A United States Marine Corps veteran and graduate of the MFA program at Florida Atlantic University, his fiction and nonfiction have appeared in:</w:t>
      </w:r>
    </w:p>
    <w:p>
      <w:pPr>
        <w:pStyle w:val="ListParagraph"/>
        <w:numPr>
          <w:ilvl w:val="0"/>
          <w:numId w:val="2"/>
        </w:numPr>
        <w:spacing w:after="120" w:line="276"/>
      </w:pPr>
      <w:r>
        <w:t xml:space="preserve">American Short Fiction</w:t>
      </w:r>
    </w:p>
    <w:p>
      <w:pPr>
        <w:pStyle w:val="ListParagraph"/>
        <w:numPr>
          <w:ilvl w:val="0"/>
          <w:numId w:val="2"/>
        </w:numPr>
        <w:spacing w:after="120" w:line="276"/>
      </w:pPr>
      <w:r>
        <w:t xml:space="preserve">AGNI</w:t>
      </w:r>
    </w:p>
    <w:p>
      <w:pPr>
        <w:pStyle w:val="ListParagraph"/>
        <w:numPr>
          <w:ilvl w:val="0"/>
          <w:numId w:val="2"/>
        </w:numPr>
        <w:spacing w:after="120" w:line="276"/>
      </w:pPr>
      <w:r>
        <w:t xml:space="preserve">Bellevue Literary Review</w:t>
      </w:r>
    </w:p>
    <w:p>
      <w:pPr>
        <w:pStyle w:val="ListParagraph"/>
        <w:numPr>
          <w:ilvl w:val="0"/>
          <w:numId w:val="2"/>
        </w:numPr>
        <w:spacing w:after="120" w:line="276"/>
      </w:pPr>
      <w:r>
        <w:t xml:space="preserve">Image</w:t>
      </w:r>
    </w:p>
    <w:p>
      <w:pPr>
        <w:pStyle w:val="ListParagraph"/>
        <w:numPr>
          <w:ilvl w:val="0"/>
          <w:numId w:val="2"/>
        </w:numPr>
        <w:spacing w:after="120" w:line="276"/>
      </w:pPr>
      <w:r>
        <w:t xml:space="preserve">Best American Essays</w:t>
      </w:r>
    </w:p>
    <w:p>
      <w:pPr>
        <w:pStyle w:val="ListParagraph"/>
        <w:numPr>
          <w:ilvl w:val="0"/>
          <w:numId w:val="2"/>
        </w:numPr>
        <w:spacing w:after="120" w:line="276"/>
      </w:pPr>
      <w:r>
        <w:t xml:space="preserve">Chicago Quarterly Review</w:t>
      </w:r>
    </w:p>
    <w:p>
      <w:pPr>
        <w:pStyle w:val="ListParagraph"/>
        <w:numPr>
          <w:ilvl w:val="0"/>
          <w:numId w:val="2"/>
        </w:numPr>
        <w:spacing w:after="120" w:line="276"/>
      </w:pPr>
      <w:r>
        <w:t xml:space="preserve">River Teeth</w:t>
      </w:r>
    </w:p>
    <w:p>
      <w:pPr>
        <w:pStyle w:val="ListParagraph"/>
        <w:numPr>
          <w:ilvl w:val="0"/>
          <w:numId w:val="2"/>
        </w:numPr>
        <w:spacing w:after="120" w:line="276"/>
      </w:pPr>
      <w:r>
        <w:t xml:space="preserve">The Southampton Review</w:t>
      </w:r>
    </w:p>
    <w:p>
      <w:pPr>
        <w:pStyle w:val="ListParagraph"/>
        <w:numPr>
          <w:ilvl w:val="0"/>
          <w:numId w:val="2"/>
        </w:numPr>
        <w:spacing w:after="120" w:line="276"/>
      </w:pPr>
      <w:r>
        <w:t xml:space="preserve">X-R-A-Y</w:t>
      </w:r>
    </w:p>
    <w:p>
      <w:pPr>
        <w:pStyle w:val="ListParagraph"/>
        <w:numPr>
          <w:ilvl w:val="0"/>
          <w:numId w:val="2"/>
        </w:numPr>
        <w:spacing w:after="120" w:line="276"/>
      </w:pPr>
      <w:r>
        <w:t xml:space="preserve">Sweet</w:t>
      </w:r>
    </w:p>
    <w:p>
      <w:pPr>
        <w:spacing w:after="200" w:line="276"/>
      </w:pPr>
      <w:r>
        <w:t xml:space="preserve">His work demonstrates precision of narrative control, structural coherence, and the ability to hold multiple threads and tonal registers within a unified dramaturgical intelligence. His MFA thesis—a linked work of short fiction whose title alludes to the Tomb of the Unknown Soldier—explores the Iraq War's lived and psychic consequences through focused, human-scale episodes.</w:t>
      </w:r>
    </w:p>
    <w:p>
      <w:pPr>
        <w:spacing w:after="200" w:line="276"/>
      </w:pPr>
      <w:r>
        <w:t xml:space="preserve">This existing body of work is conceptually aligned with the Omni-Dromenon Engine's interest in distributed agency, memory, and collective testimony. Notarnicola understands that how a work is built is inseparable from what it means—a principle essential to designing narrative systems for participatory performance.</w:t>
      </w:r>
    </w:p>
    <w:p>
      <w:pPr>
        <w:pStyle w:val="Heading1"/>
      </w:pPr>
      <w:r>
        <w:t xml:space="preserve">2. System Description</w:t>
      </w:r>
    </w:p>
    <w:p>
      <w:pPr>
        <w:pStyle w:val="Heading2"/>
      </w:pPr>
      <w:r>
        <w:t xml:space="preserve">2.1 Core Functionality</w:t>
      </w:r>
    </w:p>
    <w:p>
      <w:pPr>
        <w:spacing w:after="200" w:line="276"/>
      </w:pPr>
      <w:r>
        <w:t xml:space="preserve">The Omni-Dromenon Engine transforms audiences from passive spectators into computational agents who collectively influence live performance parameters. The system enables real-time participation across multiple artistic disciplines—music, dance, opera, theater, and visual art—while preserving performer authority through override capabilities and weighted consensus algorithms.</w:t>
      </w:r>
    </w:p>
    <w:p>
      <w:pPr>
        <w:spacing w:after="200" w:line="276"/>
      </w:pPr>
      <w:r>
        <w:t xml:space="preserve">Audiences interact with live works via networked interfaces (smartphone Progressive Web Apps), influencing parameters such as: narrative trajectory, emotional tone, thematic emphasis, character focus, temporal pacing, and visual/sonic density.</w:t>
      </w:r>
    </w:p>
    <w:p>
      <w:pPr>
        <w:pStyle w:val="Heading2"/>
      </w:pPr>
      <w:r>
        <w:t xml:space="preserve">2.2 Technical Architecture</w:t>
      </w:r>
    </w:p>
    <w:p>
      <w:pPr>
        <w:pStyle w:val="ListParagraph"/>
        <w:numPr>
          <w:ilvl w:val="0"/>
          <w:numId w:val="2"/>
        </w:numPr>
        <w:spacing w:after="120" w:line="276"/>
      </w:pPr>
      <w:r>
        <w:t xml:space="preserve">Server: Node.js with Socket.io for WebSocket communication</w:t>
      </w:r>
    </w:p>
    <w:p>
      <w:pPr>
        <w:pStyle w:val="ListParagraph"/>
        <w:numPr>
          <w:ilvl w:val="0"/>
          <w:numId w:val="2"/>
        </w:numPr>
        <w:spacing w:after="120" w:line="276"/>
      </w:pPr>
      <w:r>
        <w:t xml:space="preserve">Client: React Progressive Web App, mobile-first design</w:t>
      </w:r>
    </w:p>
    <w:p>
      <w:pPr>
        <w:pStyle w:val="ListParagraph"/>
        <w:numPr>
          <w:ilvl w:val="0"/>
          <w:numId w:val="2"/>
        </w:numPr>
        <w:spacing w:after="120" w:line="276"/>
      </w:pPr>
      <w:r>
        <w:t xml:space="preserve">Audio: Web Audio APIs with Tone.js integration, OSC protocol for SuperCollider/Max/MSP</w:t>
      </w:r>
    </w:p>
    <w:p>
      <w:pPr>
        <w:pStyle w:val="ListParagraph"/>
        <w:numPr>
          <w:ilvl w:val="0"/>
          <w:numId w:val="2"/>
        </w:numPr>
        <w:spacing w:after="120" w:line="276"/>
      </w:pPr>
      <w:r>
        <w:t xml:space="preserve">Consensus: Weighted algorithms combining temporal decay and consensus proximity</w:t>
      </w:r>
    </w:p>
    <w:p>
      <w:pPr>
        <w:pStyle w:val="ListParagraph"/>
        <w:numPr>
          <w:ilvl w:val="0"/>
          <w:numId w:val="2"/>
        </w:numPr>
        <w:spacing w:after="120" w:line="276"/>
      </w:pPr>
      <w:r>
        <w:t xml:space="preserve">Performer Interface: Control surface with real-time override capabilities</w:t>
      </w:r>
    </w:p>
    <w:p>
      <w:pPr>
        <w:pStyle w:val="ListParagraph"/>
        <w:numPr>
          <w:ilvl w:val="0"/>
          <w:numId w:val="2"/>
        </w:numPr>
        <w:spacing w:after="120" w:line="276"/>
      </w:pPr>
      <w:r>
        <w:t xml:space="preserve">Infrastructure: 11 modular GitHub repositories, Docker containerization, TypeScript</w:t>
      </w:r>
    </w:p>
    <w:p>
      <w:pPr>
        <w:pStyle w:val="Heading2"/>
      </w:pPr>
      <w:r>
        <w:t xml:space="preserve">2.3 Architectural Innovation</w:t>
      </w:r>
    </w:p>
    <w:p>
      <w:pPr>
        <w:spacing w:after="200" w:line="276"/>
      </w:pPr>
      <w:r>
        <w:t xml:space="preserve">The innovation lies not in the concept of audience participation. Voting mechanisms and participatory structures have existed since figures such as John Cage and Alvin Lucier. The innovation lies in the architectural synthesis: a unified, genre-agnostic, computational backbone with verified real-time performance and a governance framework for balancing audience agency and artistic authority. The system is designed to support multiple genres, venues, and collaborators over time.</w:t>
      </w:r>
    </w:p>
    <w:p>
      <w:r>
        <w:br w:type="page"/>
      </w:r>
    </w:p>
    <w:p>
      <w:pPr>
        <w:pStyle w:val="Heading1"/>
      </w:pPr>
      <w:r>
        <w:t xml:space="preserve">3. Proposed Collaboration</w:t>
      </w:r>
    </w:p>
    <w:p>
      <w:pPr>
        <w:pStyle w:val="Heading2"/>
      </w:pPr>
      <w:r>
        <w:t xml:space="preserve">3.1 Role Definition</w:t>
      </w:r>
    </w:p>
    <w:p>
      <w:pPr>
        <w:spacing w:after="200" w:line="276"/>
      </w:pPr>
      <w:r>
        <w:t xml:space="preserve">Notarnicola would join as Narrative Co-Architect over a four-to-six-month period. This role is not that of a conventional commissioned writer, but of a foundational intellectual partner whose thinking and methods define how future writers, dramaturgists, and storytellers collaborate with the system.</w:t>
      </w:r>
    </w:p>
    <w:p>
      <w:pPr>
        <w:pStyle w:val="Heading2"/>
      </w:pPr>
      <w:r>
        <w:t xml:space="preserve">3.2 Phase 1: Narrative Problem-Solving (Weeks 1–3)</w:t>
      </w:r>
    </w:p>
    <w:p>
      <w:pPr>
        <w:spacing w:after="200" w:line="276"/>
      </w:pPr>
      <w:r>
        <w:t xml:space="preserve">Core dramaturgical questions to be articulated include:</w:t>
      </w:r>
    </w:p>
    <w:p>
      <w:pPr>
        <w:pStyle w:val="ListParagraph"/>
        <w:numPr>
          <w:ilvl w:val="0"/>
          <w:numId w:val="2"/>
        </w:numPr>
        <w:spacing w:after="120" w:line="276"/>
      </w:pPr>
      <w:r>
        <w:t xml:space="preserve">How narrative coherence can survive when up to 200 audience members simultaneously influence which plot threads advance</w:t>
      </w:r>
    </w:p>
    <w:p>
      <w:pPr>
        <w:pStyle w:val="ListParagraph"/>
        <w:numPr>
          <w:ilvl w:val="0"/>
          <w:numId w:val="2"/>
        </w:numPr>
        <w:spacing w:after="120" w:line="276"/>
      </w:pPr>
      <w:r>
        <w:t xml:space="preserve">Where audience input can meaningfully strengthen dramatic intent instead of diluting it</w:t>
      </w:r>
    </w:p>
    <w:p>
      <w:pPr>
        <w:pStyle w:val="ListParagraph"/>
        <w:numPr>
          <w:ilvl w:val="0"/>
          <w:numId w:val="2"/>
        </w:numPr>
        <w:spacing w:after="120" w:line="276"/>
      </w:pPr>
      <w:r>
        <w:t xml:space="preserve">What level of parameter granularity is necessary to make a work feel alive rather than chaotic</w:t>
      </w:r>
    </w:p>
    <w:p>
      <w:pPr>
        <w:pStyle w:val="ListParagraph"/>
        <w:numPr>
          <w:ilvl w:val="0"/>
          <w:numId w:val="2"/>
        </w:numPr>
        <w:spacing w:after="120" w:line="276"/>
      </w:pPr>
      <w:r>
        <w:t xml:space="preserve">How to design a theatrical structure whose form is explicitly its argument</w:t>
      </w:r>
    </w:p>
    <w:p>
      <w:pPr>
        <w:pStyle w:val="ListParagraph"/>
        <w:numPr>
          <w:ilvl w:val="0"/>
          <w:numId w:val="2"/>
        </w:numPr>
        <w:spacing w:after="120" w:line="276"/>
      </w:pPr>
      <w:r>
        <w:t xml:space="preserve">What "dramatic agency" means in a context where audiences influence but do not fully control outcomes</w:t>
      </w:r>
    </w:p>
    <w:p>
      <w:pPr>
        <w:spacing w:after="200" w:line="276"/>
      </w:pPr>
      <w:r>
        <w:t xml:space="preserve">The format is conversational and exploratory: phone calls, voice memos, shared documents. The goal is a shared Narrative Dramaturgical Charter—a set of principles, heuristics, and conceptual tools that all future writers using the engine can inherit.</w:t>
      </w:r>
    </w:p>
    <w:p>
      <w:pPr>
        <w:pStyle w:val="Heading2"/>
      </w:pPr>
      <w:r>
        <w:t xml:space="preserve">3.3 Phase 2: Prototype Development (Weeks 4–11)</w:t>
      </w:r>
    </w:p>
    <w:p>
      <w:pPr>
        <w:spacing w:after="200" w:line="276"/>
      </w:pPr>
      <w:r>
        <w:t xml:space="preserve">Multiple trajectories are possible; the actual plan may blend them:</w:t>
      </w:r>
    </w:p>
    <w:p>
      <w:pPr>
        <w:spacing w:after="200" w:line="276"/>
      </w:pPr>
      <w:r>
        <w:t xml:space="preserve">Trajectory A — Classical Adaptation: Adapt a canonical text meaningful to Notarnicola (Greek tragedy, Shakespeare, contemporary classic) so that audience input reshapes thematic emphasis, character perception, and emotional valence. An Antigone adaptation, for example, might allow audience input to shift emphasis among state authority, individual conscience, and familial duty.</w:t>
      </w:r>
    </w:p>
    <w:p>
      <w:pPr>
        <w:spacing w:after="200" w:line="276"/>
      </w:pPr>
      <w:r>
        <w:t xml:space="preserve">Trajectory B — Original Participatory Work: Create an entirely new 25–40 minute work conceived from the start as audience-influenced narrative. The engine becomes a collaborator in the writing process itself.</w:t>
      </w:r>
    </w:p>
    <w:p>
      <w:pPr>
        <w:spacing w:after="200" w:line="276"/>
      </w:pPr>
      <w:r>
        <w:t xml:space="preserve">Trajectory C — Experimental Micro-Pieces: A series of 5–10 minute pieces designed to test specific hypotheses about agency, revelation, pacing, and emotional tonality. Failures are treated explicitly as data.</w:t>
      </w:r>
    </w:p>
    <w:p>
      <w:pPr>
        <w:spacing w:after="200" w:line="276"/>
      </w:pPr>
      <w:r>
        <w:t xml:space="preserve">Trajectory D — Digital Tomb of the Unknowns: Transform Notarnicola's FAU thesis into a flagship digital memorial. The installation would be accessible both in museum settings and remotely, allowing veterans, families, interpreters, civilians, and others affected by the Iraq War to interact with and contribute to the work.</w:t>
      </w:r>
    </w:p>
    <w:p>
      <w:pPr>
        <w:pStyle w:val="Heading2"/>
      </w:pPr>
      <w:r>
        <w:t xml:space="preserve">3.4 The Digital Tomb of the Unknowns Concept</w:t>
      </w:r>
    </w:p>
    <w:p>
      <w:pPr>
        <w:spacing w:after="200" w:line="276"/>
      </w:pPr>
      <w:r>
        <w:t xml:space="preserve">Participants would engage with scenes, images, and situations from Notarnicola's existing stories and essays—convoys, certificates of commendation, martial arts training, Sinjar, base life, post-deployment memory—and offer their own stories, responses, and testimonies. These contributions would be integrated via a carefully designed parameter architecture, subtly shifting focalization, temporal arrangements, detail density, and emotional weight.</w:t>
      </w:r>
    </w:p>
    <w:p>
      <w:pPr>
        <w:spacing w:after="200" w:line="276"/>
      </w:pPr>
      <w:r>
        <w:t xml:space="preserve">The work would exist in at least two modes:</w:t>
      </w:r>
    </w:p>
    <w:p>
      <w:pPr>
        <w:pStyle w:val="ListParagraph"/>
        <w:numPr>
          <w:ilvl w:val="0"/>
          <w:numId w:val="2"/>
        </w:numPr>
        <w:spacing w:after="120" w:line="276"/>
      </w:pPr>
      <w:r>
        <w:t xml:space="preserve">Live Performance Mode: A present audience shapes which narrative threads rise to the surface through real-time input</w:t>
      </w:r>
    </w:p>
    <w:p>
      <w:pPr>
        <w:pStyle w:val="ListParagraph"/>
        <w:numPr>
          <w:ilvl w:val="0"/>
          <w:numId w:val="2"/>
        </w:numPr>
        <w:spacing w:after="120" w:line="276"/>
      </w:pPr>
      <w:r>
        <w:t xml:space="preserve">Ongoing Museum Mode: The piece continuously reconfigures based on cumulative global interactions, becoming a living archive of war memory</w:t>
      </w:r>
    </w:p>
    <w:p>
      <w:pPr>
        <w:pStyle w:val="Heading2"/>
      </w:pPr>
      <w:r>
        <w:t xml:space="preserve">3.5 Phase 3: Codification (Weeks 12–16)</w:t>
      </w:r>
    </w:p>
    <w:p>
      <w:pPr>
        <w:spacing w:after="200" w:line="276"/>
      </w:pPr>
      <w:r>
        <w:t xml:space="preserve">Principles to be extracted, formalized, and articulated include:</w:t>
      </w:r>
    </w:p>
    <w:p>
      <w:pPr>
        <w:pStyle w:val="ListParagraph"/>
        <w:numPr>
          <w:ilvl w:val="0"/>
          <w:numId w:val="2"/>
        </w:numPr>
        <w:spacing w:after="120" w:line="276"/>
      </w:pPr>
      <w:r>
        <w:t xml:space="preserve">Parameter mapping methodology: how to translate dramatic intent into audience-input levers without reducing stories to simplistic branching paths</w:t>
      </w:r>
    </w:p>
    <w:p>
      <w:pPr>
        <w:pStyle w:val="ListParagraph"/>
        <w:numPr>
          <w:ilvl w:val="0"/>
          <w:numId w:val="2"/>
        </w:numPr>
        <w:spacing w:after="120" w:line="276"/>
      </w:pPr>
      <w:r>
        <w:t xml:space="preserve">Narrative failure modes: where coherence breaks, where spectacle overrides meaning, where input results in chaos rather than emergence</w:t>
      </w:r>
    </w:p>
    <w:p>
      <w:pPr>
        <w:pStyle w:val="ListParagraph"/>
        <w:numPr>
          <w:ilvl w:val="0"/>
          <w:numId w:val="2"/>
        </w:numPr>
        <w:spacing w:after="120" w:line="276"/>
      </w:pPr>
      <w:r>
        <w:t xml:space="preserve">Emergent patterns: unexpected formal or emotional structures visible only when live agency is introduced</w:t>
      </w:r>
    </w:p>
    <w:p>
      <w:pPr>
        <w:pStyle w:val="ListParagraph"/>
        <w:numPr>
          <w:ilvl w:val="0"/>
          <w:numId w:val="2"/>
        </w:numPr>
        <w:spacing w:after="120" w:line="276"/>
      </w:pPr>
      <w:r>
        <w:t xml:space="preserve">Writer's workflow for the engine: technical affordances, useful constraints, effective communication patterns</w:t>
      </w:r>
    </w:p>
    <w:p>
      <w:pPr>
        <w:pStyle w:val="ListParagraph"/>
        <w:numPr>
          <w:ilvl w:val="0"/>
          <w:numId w:val="2"/>
        </w:numPr>
        <w:spacing w:after="120" w:line="276"/>
      </w:pPr>
      <w:r>
        <w:t xml:space="preserve">Governance structures: how and when to explain weighting algorithms to audiences; constructing experiences where input feels consequential without destabilizing the work</w:t>
      </w:r>
    </w:p>
    <w:p>
      <w:pPr>
        <w:spacing w:after="200" w:line="276"/>
      </w:pPr>
      <w:r>
        <w:t xml:space="preserve">The output is a co-authored Narrative Design Handbook for Participatory Performance (15–20 pages), illustrated with diagrams, parameter maps, decision trees, and case studies.</w:t>
      </w:r>
    </w:p>
    <w:p>
      <w:r>
        <w:br w:type="page"/>
      </w:r>
    </w:p>
    <w:p>
      <w:pPr>
        <w:pStyle w:val="Heading1"/>
      </w:pPr>
      <w:r>
        <w:t xml:space="preserve">4. Compensation and Terms</w:t>
      </w:r>
    </w:p>
    <w:p>
      <w:pPr>
        <w:pStyle w:val="Heading2"/>
      </w:pPr>
      <w:r>
        <w:t xml:space="preserve">4.1 Fee Structure</w:t>
      </w:r>
    </w:p>
    <w:p>
      <w:pPr>
        <w:spacing w:after="200" w:line="276"/>
      </w:pPr>
      <w:r>
        <w:t xml:space="preserve">Industry norms for mid- to established-career writers and dramaturgists suggest the following ranges:</w:t>
      </w:r>
    </w:p>
    <w:p>
      <w:pPr>
        <w:pStyle w:val="ListParagraph"/>
        <w:numPr>
          <w:ilvl w:val="0"/>
          <w:numId w:val="2"/>
        </w:numPr>
        <w:spacing w:after="120" w:line="276"/>
      </w:pPr>
      <w:r>
        <w:t xml:space="preserve">Development fees: $8,000–$12,000</w:t>
      </w:r>
    </w:p>
    <w:p>
      <w:pPr>
        <w:pStyle w:val="ListParagraph"/>
        <w:numPr>
          <w:ilvl w:val="0"/>
          <w:numId w:val="2"/>
        </w:numPr>
        <w:spacing w:after="120" w:line="276"/>
      </w:pPr>
      <w:r>
        <w:t xml:space="preserve">Performance-related fees: $1,000–$2,000</w:t>
      </w:r>
    </w:p>
    <w:p>
      <w:pPr>
        <w:pStyle w:val="ListParagraph"/>
        <w:numPr>
          <w:ilvl w:val="0"/>
          <w:numId w:val="2"/>
        </w:numPr>
        <w:spacing w:after="120" w:line="276"/>
      </w:pPr>
      <w:r>
        <w:t xml:space="preserve">Documentation and handbook co-authorship: $1,000–$2,000</w:t>
      </w:r>
    </w:p>
    <w:p>
      <w:pPr>
        <w:spacing w:after="200" w:line="276"/>
      </w:pPr>
      <w:r>
        <w:t xml:space="preserve">In recognition of Notarnicola's role as Narrative Co-Architect rather than conventional commissioned writer, the proposed structure is at the top of that range:</w:t>
      </w:r>
    </w:p>
    <w:p>
      <w:pPr>
        <w:pStyle w:val="ListParagraph"/>
        <w:numPr>
          <w:ilvl w:val="0"/>
          <w:numId w:val="2"/>
        </w:numPr>
        <w:spacing w:after="120" w:line="276"/>
      </w:pPr>
      <w:r>
        <w:t xml:space="preserve">Development work: ~$12,000</w:t>
      </w:r>
    </w:p>
    <w:p>
      <w:pPr>
        <w:pStyle w:val="ListParagraph"/>
        <w:numPr>
          <w:ilvl w:val="0"/>
          <w:numId w:val="2"/>
        </w:numPr>
        <w:spacing w:after="120" w:line="276"/>
      </w:pPr>
      <w:r>
        <w:t xml:space="preserve">Premiere and performance event participation: ~$2,000</w:t>
      </w:r>
    </w:p>
    <w:p>
      <w:pPr>
        <w:pStyle w:val="ListParagraph"/>
        <w:numPr>
          <w:ilvl w:val="0"/>
          <w:numId w:val="2"/>
        </w:numPr>
        <w:spacing w:after="120" w:line="276"/>
      </w:pPr>
      <w:r>
        <w:t xml:space="preserve">Handbook co-authorship: ~$2,000 or 50% royalty share</w:t>
      </w:r>
    </w:p>
    <w:p>
      <w:pPr>
        <w:spacing w:after="240"/>
      </w:pPr>
      <w:r>
        <w:rPr>
          <w:b/>
          <w:bCs/>
        </w:rPr>
        <w:t xml:space="preserve">Total targeted compensation: $16,000–$20,000</w:t>
      </w:r>
    </w:p>
    <w:p>
      <w:pPr>
        <w:spacing w:after="200" w:line="276"/>
      </w:pPr>
      <w:r>
        <w:t xml:space="preserve">Compensation scales upward if major grants are secured.</w:t>
      </w:r>
    </w:p>
    <w:p>
      <w:pPr>
        <w:pStyle w:val="Heading2"/>
      </w:pPr>
      <w:r>
        <w:t xml:space="preserve">4.2 Payment Timeline</w:t>
      </w:r>
    </w:p>
    <w:p>
      <w:pPr>
        <w:spacing w:after="200" w:line="276"/>
      </w:pPr>
      <w:r>
        <w:t xml:space="preserve">The project is currently in bootstrap mode with no immediate budget. The proposal is that initial months of work—Phase 1 and early Phase 2—function as foundational pre-funded collaboration, with retroactive compensation triggered once grants land. The logic: the dramaturgical framework and prototypes developed with Notarnicola are precisely what will make the system credible and fundable.</w:t>
      </w:r>
    </w:p>
    <w:p>
      <w:pPr>
        <w:pStyle w:val="Heading2"/>
      </w:pPr>
      <w:r>
        <w:t xml:space="preserve">4.3 Credit and Attribution</w:t>
      </w:r>
    </w:p>
    <w:p>
      <w:pPr>
        <w:spacing w:after="200" w:line="276"/>
      </w:pPr>
      <w:r>
        <w:t xml:space="preserve">Notarnicola receives explicit credit as "Narrative Architect" on all system documentation, repositories, publications, grant applications, and promotional materials.</w:t>
      </w:r>
    </w:p>
    <w:p>
      <w:pPr>
        <w:pStyle w:val="Heading1"/>
      </w:pPr>
      <w:r>
        <w:t xml:space="preserve">5. Funding Landscape</w:t>
      </w:r>
    </w:p>
    <w:p>
      <w:pPr>
        <w:pStyle w:val="Heading2"/>
      </w:pPr>
      <w:r>
        <w:t xml:space="preserve">5.1 Target Programs</w:t>
      </w:r>
    </w:p>
    <w:p>
      <w:pPr>
        <w:spacing w:after="200" w:line="276"/>
      </w:pPr>
      <w:r>
        <w:t xml:space="preserve">S+T+ARTS Prize 2026 (Opening January 2026): Projects at the intersection of science, technology, and the arts. Administered with Ars Electronica.</w:t>
      </w:r>
    </w:p>
    <w:p>
      <w:pPr>
        <w:spacing w:after="200" w:line="276"/>
      </w:pPr>
      <w:r>
        <w:t xml:space="preserve">Prix Ars Electronica 2026 (Deadline March 4, 2026): Categories include Interactive Art and AI. Strong alignment with project scope.</w:t>
      </w:r>
    </w:p>
    <w:p>
      <w:pPr>
        <w:spacing w:after="200" w:line="276"/>
      </w:pPr>
      <w:r>
        <w:t xml:space="preserve">Mozarteum University X-Reality Lab Artist-in-Residence (Salzburg): Developed with Ars Electronica Futurelab. Supports advanced multi-user XR performance.</w:t>
      </w:r>
    </w:p>
    <w:p>
      <w:pPr>
        <w:spacing w:after="200" w:line="276"/>
      </w:pPr>
      <w:r>
        <w:t xml:space="preserve">Harvestworks Artists-in-Residence 2026 (New York): $5,000 commission for technology-heavy art and sound projects.</w:t>
      </w:r>
    </w:p>
    <w:p>
      <w:pPr>
        <w:spacing w:after="200" w:line="276"/>
      </w:pPr>
      <w:r>
        <w:t xml:space="preserve">Rhizome Microgrants: Recurring channel for experimental digital and narrative projects.</w:t>
      </w:r>
    </w:p>
    <w:p>
      <w:pPr>
        <w:spacing w:after="200" w:line="276"/>
      </w:pPr>
      <w:r>
        <w:t xml:space="preserve">Creative Capital (Active 2026 Cycle): Medium-term target once prototypes are publicly presented.</w:t>
      </w:r>
    </w:p>
    <w:p>
      <w:pPr>
        <w:spacing w:after="200" w:line="276"/>
      </w:pPr>
      <w:r>
        <w:t xml:space="preserve">Eyebeam Residencies (2025–26 Season): Stipends and infrastructure for critical art–tech practices.</w:t>
      </w:r>
    </w:p>
    <w:p>
      <w:pPr>
        <w:spacing w:after="200" w:line="276"/>
      </w:pPr>
      <w:r>
        <w:t xml:space="preserve">NEA Grants for Arts Projects: Later-stage institutional funding channel.</w:t>
      </w:r>
    </w:p>
    <w:p>
      <w:pPr>
        <w:spacing w:after="200" w:line="276"/>
      </w:pPr>
      <w:r>
        <w:t xml:space="preserve">Epic MegaGrants: Potential target for XR extensions incorporating Unreal integration.</w:t>
      </w:r>
    </w:p>
    <w:p>
      <w:pPr>
        <w:pStyle w:val="Heading2"/>
      </w:pPr>
      <w:r>
        <w:t xml:space="preserve">5.2 Funding Projections</w:t>
      </w:r>
    </w:p>
    <w:p>
      <w:pPr>
        <w:spacing w:after="200" w:line="276"/>
      </w:pPr>
      <w:r>
        <w:t xml:space="preserve">Conservative 12-month range: $45,000–$85,000 (USD or euro equivalent)</w:t>
      </w:r>
    </w:p>
    <w:p>
      <w:pPr>
        <w:spacing w:after="200" w:line="276"/>
      </w:pPr>
      <w:r>
        <w:t xml:space="preserve">Aggressive scenario: $75,000–$115,000 through strategic applications to multiple programs</w:t>
      </w:r>
    </w:p>
    <w:p>
      <w:pPr>
        <w:pStyle w:val="Heading1"/>
      </w:pPr>
      <w:r>
        <w:t xml:space="preserve">6. Key Links and References</w:t>
      </w:r>
    </w:p>
    <w:p>
      <w:pPr>
        <w:spacing w:after="120"/>
      </w:pPr>
      <w:r>
        <w:rPr>
          <w:b/>
          <w:bCs/>
        </w:rPr>
        <w:t xml:space="preserve">Christopher Notarnicola: </w:t>
      </w:r>
      <w:hyperlink w:history="1" r:id="rIduchg0idb3d6wc6usvcvky">
        <w:r>
          <w:rPr>
            <w:color w:val="2980b9"/>
            <w:u w:val="single"/>
          </w:rPr>
          <w:t xml:space="preserve">christophernotarnicola.com</w:t>
        </w:r>
      </w:hyperlink>
    </w:p>
    <w:p>
      <w:pPr>
        <w:spacing w:after="120"/>
      </w:pPr>
      <w:r>
        <w:rPr>
          <w:b/>
          <w:bCs/>
        </w:rPr>
        <w:t xml:space="preserve">S+T+ARTS Prize: </w:t>
      </w:r>
      <w:hyperlink w:history="1" r:id="rIdtn5pxwlqhp-4jwo4wwbvt">
        <w:r>
          <w:rPr>
            <w:color w:val="2980b9"/>
            <w:u w:val="single"/>
          </w:rPr>
          <w:t xml:space="preserve">starts-prize.aec.at/en/open-call</w:t>
        </w:r>
      </w:hyperlink>
    </w:p>
    <w:p>
      <w:pPr>
        <w:spacing w:after="120"/>
      </w:pPr>
      <w:r>
        <w:rPr>
          <w:b/>
          <w:bCs/>
        </w:rPr>
        <w:t xml:space="preserve">Prix Ars Electronica: </w:t>
      </w:r>
      <w:hyperlink w:history="1" r:id="rIdbz051fx6omzvmihjqv31t">
        <w:r>
          <w:rPr>
            <w:color w:val="2980b9"/>
            <w:u w:val="single"/>
          </w:rPr>
          <w:t xml:space="preserve">ars.electronica.art/prix/en</w:t>
        </w:r>
      </w:hyperlink>
    </w:p>
    <w:p>
      <w:pPr>
        <w:spacing w:after="120"/>
      </w:pPr>
      <w:r>
        <w:rPr>
          <w:b/>
          <w:bCs/>
        </w:rPr>
        <w:t xml:space="preserve">Epic MegaGrants: </w:t>
      </w:r>
      <w:hyperlink w:history="1" r:id="rIdv5zdai6_icsfx5v9mdgxq">
        <w:r>
          <w:rPr>
            <w:color w:val="2980b9"/>
            <w:u w:val="single"/>
          </w:rPr>
          <w:t xml:space="preserve">unrealengine.com/megagrants</w:t>
        </w:r>
      </w:hyperlink>
    </w:p>
    <w:p>
      <w:pPr>
        <w:spacing w:after="120"/>
      </w:pPr>
      <w:r>
        <w:rPr>
          <w:b/>
          <w:bCs/>
        </w:rPr>
        <w:t xml:space="preserve">Mozarteum X-Reality Lab: </w:t>
      </w:r>
      <w:hyperlink w:history="1" r:id="rIdidbrjhs_mtihrepenyelb">
        <w:r>
          <w:rPr>
            <w:color w:val="2980b9"/>
            <w:u w:val="single"/>
          </w:rPr>
          <w:t xml:space="preserve">moz.ac.at/en/about-us/x-reality-lab</w:t>
        </w:r>
      </w:hyperlink>
    </w:p>
    <w:p>
      <w:pPr>
        <w:spacing w:after="120"/>
      </w:pPr>
      <w:r>
        <w:rPr>
          <w:b/>
          <w:bCs/>
        </w:rPr>
        <w:t xml:space="preserve">Harvestworks 2026 Residency: </w:t>
      </w:r>
      <w:hyperlink w:history="1" r:id="rId06mqjo4k8y-sbwvhhpedn">
        <w:r>
          <w:rPr>
            <w:color w:val="2980b9"/>
            <w:u w:val="single"/>
          </w:rPr>
          <w:t xml:space="preserve">harvestworks.org/open-call-2026</w:t>
        </w:r>
      </w:hyperlink>
    </w:p>
    <w:p>
      <w:pPr>
        <w:spacing w:after="120"/>
      </w:pPr>
      <w:r>
        <w:rPr>
          <w:b/>
          <w:bCs/>
        </w:rPr>
        <w:t xml:space="preserve">Rhizome Microgrants: </w:t>
      </w:r>
      <w:hyperlink w:history="1" r:id="rIdlhvhagwngq4jmqrsdc273">
        <w:r>
          <w:rPr>
            <w:color w:val="2980b9"/>
            <w:u w:val="single"/>
          </w:rPr>
          <w:t xml:space="preserve">rhizome.org/microgrants</w:t>
        </w:r>
      </w:hyperlink>
    </w:p>
    <w:p>
      <w:pPr>
        <w:spacing w:after="120"/>
      </w:pPr>
      <w:r>
        <w:rPr>
          <w:b/>
          <w:bCs/>
        </w:rPr>
        <w:t xml:space="preserve">Creative Capital: </w:t>
      </w:r>
      <w:hyperlink w:history="1" r:id="rIdvc65axmd2kchkrlhfpax6">
        <w:r>
          <w:rPr>
            <w:color w:val="2980b9"/>
            <w:u w:val="single"/>
          </w:rPr>
          <w:t xml:space="preserve">creative-capital.org</w:t>
        </w:r>
      </w:hyperlink>
    </w:p>
    <w:p>
      <w:pPr>
        <w:spacing w:after="120"/>
      </w:pPr>
      <w:r>
        <w:rPr>
          <w:b/>
          <w:bCs/>
        </w:rPr>
        <w:t xml:space="preserve">Eyebeam: </w:t>
      </w:r>
      <w:hyperlink w:history="1" r:id="rIdrmskc6ov-v07bznmyygg0">
        <w:r>
          <w:rPr>
            <w:color w:val="2980b9"/>
            <w:u w:val="single"/>
          </w:rPr>
          <w:t xml:space="preserve">eyebeam.org</w:t>
        </w:r>
      </w:hyperlink>
    </w:p>
    <w:p>
      <w:pPr>
        <w:spacing w:after="120"/>
      </w:pPr>
      <w:r>
        <w:rPr>
          <w:b/>
          <w:bCs/>
        </w:rPr>
        <w:t xml:space="preserve">NEA Grants for Arts Projects: </w:t>
      </w:r>
      <w:hyperlink w:history="1" r:id="rIdsbqhbzwgu1rpkah3qds3c">
        <w:r>
          <w:rPr>
            <w:color w:val="2980b9"/>
            <w:u w:val="single"/>
          </w:rPr>
          <w:t xml:space="preserve">arts.gov/grants</w:t>
        </w:r>
      </w:hyperlink>
    </w:p>
    <w:p>
      <w:pPr>
        <w:pStyle w:val="Heading1"/>
      </w:pPr>
      <w:r>
        <w:t xml:space="preserve">7. Immediate Next Step</w:t>
      </w:r>
    </w:p>
    <w:p>
      <w:pPr>
        <w:spacing w:after="200" w:line="276"/>
      </w:pPr>
      <w:r>
        <w:t xml:space="preserve">A single 45-minute conversation between both parties. In that call, the systems architect will walk Notarnicola through the system conceptually, demonstrate the working prototype, and then ask what dramaturgical questions the engine raises for him. If that conversation feels intellectually and creatively alive, the parties will proceed to define Phase 1 in concrete terms: establishing cadence, scope, and a plan for whether and how to translate Notarnicola's thesis-scale Iraq War project into the proposed Digital Tomb of the Unknowns.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c8d"/>
        <w:sz w:val="18"/>
        <w:szCs w:val="18"/>
      </w:rPr>
      <w:t xml:space="preserve">PROPOSAL 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left"/>
    </w:pPr>
    <w:rPr>
      <w:rFonts w:ascii="Arial" w:cs="Arial" w:eastAsia="Arial" w:hAnsi="Arial"/>
      <w:b/>
      <w:bCs/>
      <w:color w:val="1a1a1a"/>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c3e50"/>
      <w:sz w:val="28"/>
      <w:szCs w:val="28"/>
    </w:rPr>
  </w:style>
  <w:style w:type="paragraph" w:styleId="Heading2">
    <w:name w:val="Heading 2"/>
    <w:basedOn w:val="Normal"/>
    <w:next w:val="Normal"/>
    <w:qFormat/>
    <w:pPr>
      <w:spacing w:before="240" w:after="80"/>
      <w:outlineLvl w:val="1"/>
    </w:pPr>
    <w:rPr>
      <w:rFonts w:ascii="Arial" w:cs="Arial" w:eastAsia="Arial" w:hAnsi="Arial"/>
      <w:b/>
      <w:bCs/>
      <w:color w:val="34495e"/>
      <w:sz w:val="24"/>
      <w:szCs w:val="24"/>
    </w:rPr>
  </w:style>
  <w:style w:type="paragraph" w:styleId="Heading3">
    <w:name w:val="Heading 3"/>
    <w:basedOn w:val="Normal"/>
    <w:next w:val="Normal"/>
    <w:qFormat/>
    <w:pPr>
      <w:spacing w:before="200" w:after="6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uchg0idb3d6wc6usvcvky" Type="http://schemas.openxmlformats.org/officeDocument/2006/relationships/hyperlink" Target="https://www.christophernotarnicola.com" TargetMode="External"/><Relationship Id="rIdtn5pxwlqhp-4jwo4wwbvt" Type="http://schemas.openxmlformats.org/officeDocument/2006/relationships/hyperlink" Target="https://starts-prize.aec.at/en/open-call" TargetMode="External"/><Relationship Id="rIdbz051fx6omzvmihjqv31t" Type="http://schemas.openxmlformats.org/officeDocument/2006/relationships/hyperlink" Target="https://ars.electronica.art/prix/en" TargetMode="External"/><Relationship Id="rIdv5zdai6_icsfx5v9mdgxq" Type="http://schemas.openxmlformats.org/officeDocument/2006/relationships/hyperlink" Target="https://www.unrealengine.com/en-US/megagrants" TargetMode="External"/><Relationship Id="rIdidbrjhs_mtihrepenyelb" Type="http://schemas.openxmlformats.org/officeDocument/2006/relationships/hyperlink" Target="https://www.moz.ac.at/en/about-us/x-reality-lab" TargetMode="External"/><Relationship Id="rId06mqjo4k8y-sbwvhhpedn" Type="http://schemas.openxmlformats.org/officeDocument/2006/relationships/hyperlink" Target="https://www.harvestworks.org/open-call-2026-artists-in-residence-program" TargetMode="External"/><Relationship Id="rIdlhvhagwngq4jmqrsdc273" Type="http://schemas.openxmlformats.org/officeDocument/2006/relationships/hyperlink" Target="https://rhizome.org/editorial/2025/sep/15/open-call-microgrants-2025" TargetMode="External"/><Relationship Id="rIdvc65axmd2kchkrlhfpax6" Type="http://schemas.openxmlformats.org/officeDocument/2006/relationships/hyperlink" Target="https://creative-capital.org/creative-capital-award" TargetMode="External"/><Relationship Id="rIdrmskc6ov-v07bznmyygg0" Type="http://schemas.openxmlformats.org/officeDocument/2006/relationships/hyperlink" Target="https://eyebeam.org" TargetMode="External"/><Relationship Id="rIdsbqhbzwgu1rpkah3qds3c" Type="http://schemas.openxmlformats.org/officeDocument/2006/relationships/hyperlink" Target="https://www.arts.gov/grants/grants-for-arts-projects" TargetMode="External"/><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2025-12-11T20:32:32.501Z</dcterms:created>
  <dcterms:modified xsi:type="dcterms:W3CDTF">2025-12-11T20:32:32.501Z</dcterms:modified>
</cp:coreProperties>
</file>

<file path=docProps/custom.xml><?xml version="1.0" encoding="utf-8"?>
<Properties xmlns="http://schemas.openxmlformats.org/officeDocument/2006/custom-properties" xmlns:vt="http://schemas.openxmlformats.org/officeDocument/2006/docPropsVTypes"/>
</file>