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Organ Definition Bestanden</w:t>
      </w:r>
    </w:p>
    <w:p>
      <w:pPr>
        <w:spacing w:after="100"/>
        <w:jc w:val="center"/>
      </w:pPr>
      <w:r>
        <w:rPr>
          <w:rFonts w:ascii="Arial" w:cs="Arial" w:eastAsia="Arial" w:hAnsi="Arial"/>
          <w:color w:val="2E75B6"/>
          <w:sz w:val="32"/>
          <w:szCs w:val="32"/>
        </w:rPr>
        <w:t xml:space="preserve">Hauptwerk en GrandOrgue</w:t>
      </w:r>
    </w:p>
    <w:p>
      <w:pPr>
        <w:pBdr>
          <w:bottom w:val="single" w:color="2E75B6" w:sz="6" w:space="1"/>
        </w:pBdr>
        <w:spacing w:after="400"/>
        <w:jc w:val="center"/>
      </w:pPr>
      <w:r>
        <w:rPr>
          <w:rFonts w:ascii="Arial" w:cs="Arial" w:eastAsia="Arial" w:hAnsi="Arial"/>
          <w:i/>
          <w:iCs/>
          <w:color w:val="666666"/>
          <w:sz w:val="22"/>
          <w:szCs w:val="22"/>
        </w:rPr>
        <w:t xml:space="preserve">Samenvatting en vergelijking</w:t>
      </w:r>
    </w:p>
    <w:p>
      <w:pPr>
        <w:pStyle w:val="Heading1"/>
      </w:pPr>
      <w:r>
        <w:t xml:space="preserve">1. Wat is een Organ Definition File?</w:t>
      </w:r>
    </w:p>
    <w:p>
      <w:pPr>
        <w:spacing w:after="120"/>
      </w:pPr>
      <w:r>
        <w:t xml:space="preserve">Een Organ Definition File (ODF) is het configuratiebestand dat virtuele orgelsoftware vertelt hoe opgenomen geluidssamples van een pijporgel moeten worden gebruikt. Het beschrijft de volledige structuur van het orgel: van de klavieren en registers tot de windladen en zwelkasten. Zonder dit bestand zijn de losse WAV-samples onbruikbaar.</w:t>
      </w:r>
    </w:p>
    <w:p>
      <w:pPr>
        <w:spacing w:after="200"/>
      </w:pPr>
      <w:r>
        <w:t xml:space="preserve">Hauptwerk gebruikt XML-bestanden (.xml), terwijl GrandOrgue een INI-achtig tekstformaat (.organ) hanteert. Beide bevatten in essentie dezelfde soort informatie, maar Hauptwerk gaat aanzienlijk dieper in de fysische modellering.</w:t>
      </w:r>
    </w:p>
    <w:p>
      <w:pPr>
        <w:pStyle w:val="Heading1"/>
      </w:pPr>
      <w:r>
        <w:t xml:space="preserve">2. Kerknaam, bouwer, bouwjaar en stemming</w:t>
      </w:r>
    </w:p>
    <w:p>
      <w:pPr>
        <w:pStyle w:val="Heading2"/>
      </w:pPr>
      <w:r>
        <w:t xml:space="preserve">Hauptwerk</w:t>
      </w:r>
    </w:p>
    <w:p>
      <w:pPr>
        <w:spacing w:after="120"/>
      </w:pPr>
      <w:r>
        <w:t xml:space="preserve">Het Hauptwerk XML-bestand bevat een metadata-tabel met algemene orgelinformatie: de naam van de kerk of locatie, het adres, de orgelbouwer, het bouwjaar en de basis-stemming. De pitch-referentie (bijvoorbeeld a</w:t>
      </w:r>
      <w:r>
        <w:rPr>
          <w:vertAlign w:val="superscript"/>
        </w:rPr>
        <w:t xml:space="preserve">¹</w:t>
      </w:r>
      <w:r>
        <w:t xml:space="preserve"> = 440 Hz, 415 Hz of 465 Hz) wordt vastgelegd. Hauptwerk ondersteunt talrijke historische temperamenten, zoals middentoonstemming, Werckmeister en Kirnberger, naast de gelijkzwevende stemming.</w:t>
      </w:r>
    </w:p>
    <w:p>
      <w:pPr>
        <w:pStyle w:val="Heading2"/>
      </w:pPr>
      <w:r>
        <w:t xml:space="preserve">GrandOrgue</w:t>
      </w:r>
    </w:p>
    <w:p>
      <w:pPr>
        <w:spacing w:after="200"/>
      </w:pPr>
      <w:r>
        <w:t xml:space="preserve">In de [Organ]-sectie van het .organ-bestand staan vergelijkbare parameters: ChurchName, ChurchAddress, OrganBuilder, OrganBuildDate en OrganComments. De basisstemmingsfrequentie wordt eveneens vastgelegd. Een belangrijk verschil is dat het instellen van een ander temperament in GrandOrgue het hele orgel herstemt naar a</w:t>
      </w:r>
      <w:r>
        <w:rPr>
          <w:vertAlign w:val="superscript"/>
        </w:rPr>
        <w:t xml:space="preserve">¹</w:t>
      </w:r>
      <w:r>
        <w:t xml:space="preserve"> = 440 Hz, wat bij orgels die op een afwijkende toonhoogte zijn opgenomen tot ongewenste verschuivingen kan leiden.</w:t>
      </w:r>
    </w:p>
    <w:p>
      <w:pPr>
        <w:pStyle w:val="Heading1"/>
      </w:pPr>
      <w:r>
        <w:t xml:space="preserve">3. Koppelingen (Couplers)</w:t>
      </w:r>
    </w:p>
    <w:p>
      <w:pPr>
        <w:pStyle w:val="Heading2"/>
      </w:pPr>
      <w:r>
        <w:t xml:space="preserve">Hauptwerk</w:t>
      </w:r>
    </w:p>
    <w:p>
      <w:pPr>
        <w:spacing w:after="120"/>
      </w:pPr>
      <w:r>
        <w:t xml:space="preserve">Koppelingen worden als records in een Coupler-tabel gedefinieerd. Elke koppeling specificeert het bronklavier, het doelklavier, het type (unison, sub-octaaf, super-octaaf), de transpositie in halve tonen en de divisietoewijzing voor het combinatiesysteem. Het volledige ODF-formaat biedt daarnaast mogelijkheden voor melodiekoppelingen, baskoppelingen en complexe logische verbindingen.</w:t>
      </w:r>
    </w:p>
    <w:p>
      <w:pPr>
        <w:pStyle w:val="Heading2"/>
      </w:pPr>
      <w:r>
        <w:t xml:space="preserve">GrandOrgue</w:t>
      </w:r>
    </w:p>
    <w:p>
      <w:pPr>
        <w:spacing w:after="80"/>
      </w:pPr>
      <w:r>
        <w:t xml:space="preserve">In GrandOrgue worden koppelingen per klavier gedefinieerd met de volgende parameters:</w:t>
      </w:r>
    </w:p>
    <w:p>
      <w:pPr>
        <w:pStyle w:val="ListParagraph"/>
        <w:numPr>
          <w:ilvl w:val="0"/>
          <w:numId w:val="2"/>
        </w:numPr>
      </w:pPr>
      <w:r>
        <w:rPr>
          <w:b/>
          <w:bCs/>
        </w:rPr>
        <w:t xml:space="preserve">Naam </w:t>
      </w:r>
      <w:r>
        <w:t xml:space="preserve">van de koppeling</w:t>
      </w:r>
    </w:p>
    <w:p>
      <w:pPr>
        <w:pStyle w:val="ListParagraph"/>
        <w:numPr>
          <w:ilvl w:val="0"/>
          <w:numId w:val="2"/>
        </w:numPr>
      </w:pPr>
      <w:r>
        <w:rPr>
          <w:b/>
          <w:bCs/>
        </w:rPr>
        <w:t xml:space="preserve">Type: </w:t>
      </w:r>
      <w:r>
        <w:t xml:space="preserve">N (normaal), B (bas) of M (melodie)</w:t>
      </w:r>
    </w:p>
    <w:p>
      <w:pPr>
        <w:pStyle w:val="ListParagraph"/>
        <w:numPr>
          <w:ilvl w:val="0"/>
          <w:numId w:val="2"/>
        </w:numPr>
      </w:pPr>
      <w:r>
        <w:rPr>
          <w:b/>
          <w:bCs/>
        </w:rPr>
        <w:t xml:space="preserve">Transpositie: </w:t>
      </w:r>
      <w:r>
        <w:t xml:space="preserve">= (unison), - (octaaf lager), + (octaaf hoger)</w:t>
      </w:r>
    </w:p>
    <w:p>
      <w:pPr>
        <w:pStyle w:val="ListParagraph"/>
        <w:numPr>
          <w:ilvl w:val="0"/>
          <w:numId w:val="2"/>
        </w:numPr>
      </w:pPr>
      <w:r>
        <w:rPr>
          <w:b/>
          <w:bCs/>
        </w:rPr>
        <w:t xml:space="preserve">Doelklavier </w:t>
      </w:r>
      <w:r>
        <w:t xml:space="preserve">en standaardstatus (in-/uitgeschakeld)</w:t>
      </w:r>
    </w:p>
    <w:p>
      <w:pPr>
        <w:spacing w:after="200"/>
      </w:pPr>
      <w:r>
        <w:t xml:space="preserve">GrandOrgue kent ook ingebouwde koppelpanelen die automatisch beschikbaar zijn wanneer er geen handmatige koppelingen in de ODF zijn gedefinieerd.</w:t>
      </w:r>
    </w:p>
    <w:p>
      <w:pPr>
        <w:pStyle w:val="Heading1"/>
      </w:pPr>
      <w:r>
        <w:t xml:space="preserve">4. Windmodel</w:t>
      </w:r>
    </w:p>
    <w:p>
      <w:pPr>
        <w:pStyle w:val="Heading2"/>
      </w:pPr>
      <w:r>
        <w:t xml:space="preserve">Hauptwerk</w:t>
      </w:r>
    </w:p>
    <w:p>
      <w:pPr>
        <w:spacing w:after="120"/>
      </w:pPr>
      <w:r>
        <w:t xml:space="preserve">Het windmodel is het aspect waarin Hauptwerk zich het sterkst onderscheidt. De software gebruikt vloeistofdynamica om de luchtbeweging door alle onderdelen van het orgel te simuleren. Dit omvat:</w:t>
      </w:r>
    </w:p>
    <w:p>
      <w:pPr>
        <w:pStyle w:val="ListParagraph"/>
        <w:numPr>
          <w:ilvl w:val="0"/>
          <w:numId w:val="2"/>
        </w:numPr>
      </w:pPr>
      <w:r>
        <w:t xml:space="preserve">Het totale volume van reservoir en windlade (in kubieke meters)</w:t>
      </w:r>
    </w:p>
    <w:p>
      <w:pPr>
        <w:pStyle w:val="ListParagraph"/>
        <w:numPr>
          <w:ilvl w:val="0"/>
          <w:numId w:val="2"/>
        </w:numPr>
      </w:pPr>
      <w:r>
        <w:t xml:space="preserve">Het oppervlak van de reservoirtafel (in vierkante meters)</w:t>
      </w:r>
    </w:p>
    <w:p>
      <w:pPr>
        <w:pStyle w:val="ListParagraph"/>
        <w:numPr>
          <w:ilvl w:val="0"/>
          <w:numId w:val="2"/>
        </w:numPr>
      </w:pPr>
      <w:r>
        <w:t xml:space="preserve">De dempingscoëfficiënt van de balgbeweging</w:t>
      </w:r>
    </w:p>
    <w:p>
      <w:pPr>
        <w:pStyle w:val="ListParagraph"/>
        <w:numPr>
          <w:ilvl w:val="0"/>
          <w:numId w:val="2"/>
        </w:numPr>
      </w:pPr>
      <w:r>
        <w:t xml:space="preserve">Het percentage drukval in de windlade bij maximale belasting</w:t>
      </w:r>
    </w:p>
    <w:p>
      <w:pPr>
        <w:pStyle w:val="ListParagraph"/>
        <w:numPr>
          <w:ilvl w:val="0"/>
          <w:numId w:val="2"/>
        </w:numPr>
      </w:pPr>
      <w:r>
        <w:t xml:space="preserve">Luchtstroom-randomisatie, richting en afstand van de balgbeweging, massa van het bewegende bord</w:t>
      </w:r>
    </w:p>
    <w:p>
      <w:pPr>
        <w:pStyle w:val="ListParagraph"/>
        <w:numPr>
          <w:ilvl w:val="0"/>
          <w:numId w:val="2"/>
        </w:numPr>
        <w:spacing w:after="120"/>
      </w:pPr>
      <w:r>
        <w:t xml:space="preserve">Lekkage van windladen wanneer ze niet in gebruik zijn</w:t>
      </w:r>
    </w:p>
    <w:p>
      <w:pPr>
        <w:spacing w:after="120"/>
      </w:pPr>
      <w:r>
        <w:t xml:space="preserve">Het windmodel simuleert realistische effecten zoals windstelen (</w:t>
      </w:r>
      <w:r>
        <w:rPr>
          <w:i/>
          <w:iCs/>
        </w:rPr>
        <w:t xml:space="preserve">robbing</w:t>
      </w:r>
      <w:r>
        <w:t xml:space="preserve">): wanneer een nieuwe pijp wordt geopend, kan dit de windtoevoer naar reeds sprekende pijpen beïnvloeden. Bij vol werk kunnen alle pijpen iets zakken in toonhoogte en gaan trillen wanneer het reservoir uitgeput raakt. Wind-reservoirs, windladen, tremulanten en pijpen kunnen in elke gewenste configuratie met elkaar verbonden worden.</w:t>
      </w:r>
    </w:p>
    <w:p>
      <w:pPr>
        <w:pStyle w:val="Heading2"/>
      </w:pPr>
      <w:r>
        <w:t xml:space="preserve">GrandOrgue</w:t>
      </w:r>
    </w:p>
    <w:p>
      <w:pPr>
        <w:spacing w:after="200"/>
      </w:pPr>
      <w:r>
        <w:rPr>
          <w:b/>
          <w:bCs/>
        </w:rPr>
        <w:t xml:space="preserve">GrandOrgue heeft geen windmodel.</w:t>
      </w:r>
      <w:r>
        <w:t xml:space="preserve"> De windladen (windchestgroups) functioneren uitsluitend als organisatorische containers die bepalen welke pijpenrijen, tremulanten en zwelkasten bij elkaar horen. Er is geen simulatie van winddruk, reservoirs, balgen of interactie tussen pijpen.</w:t>
      </w:r>
    </w:p>
    <w:p>
      <w:pPr>
        <w:pStyle w:val="Heading1"/>
      </w:pPr>
      <w:r>
        <w:t xml:space="preserve">5. Tremulanten en zwelkasten</w:t>
      </w:r>
    </w:p>
    <w:p>
      <w:pPr>
        <w:pStyle w:val="Heading2"/>
      </w:pPr>
      <w:r>
        <w:t xml:space="preserve">Tremulanten</w:t>
      </w:r>
    </w:p>
    <w:p>
      <w:pPr>
        <w:pStyle w:val="Heading3"/>
      </w:pPr>
      <w:r>
        <w:t xml:space="preserve">Hauptwerk</w:t>
      </w:r>
    </w:p>
    <w:p>
      <w:pPr>
        <w:spacing w:after="120"/>
      </w:pPr>
      <w:r>
        <w:t xml:space="preserve">Tremulant-effecten worden gerealiseerd met behulp van LFO-samplebestanden (Low Frequency Oscillator) die het geluid dynamisch moduleren. Het windmodel genereert de tremulant als een fysisch gesimuleerde oscillatie in de luchtdruk. Parameters omvatten tremulant-snelheid, amplitude, opstart- en aflooptijd (spin-up/spin-down), en de toonhoogte- en amplituderespons is per pijp afzonderlijk instelbaar. Via het Pipe Voicing-scherm kan de gebruiker de mate van tremulant-amplitude, toonhoogtevariatie en derde-harmonischen aanpassen.</w:t>
      </w:r>
    </w:p>
    <w:p>
      <w:pPr>
        <w:pStyle w:val="Heading3"/>
      </w:pPr>
      <w:r>
        <w:t xml:space="preserve">GrandOrgue</w:t>
      </w:r>
    </w:p>
    <w:p>
      <w:pPr>
        <w:spacing w:after="200"/>
      </w:pPr>
      <w:r>
        <w:t xml:space="preserve">GrandOrgue ondersteunt twee typen tremulanten: wave-based (op basis van opgenomen tremulant-samples) of gesynthetiseerd. Bij gesynthetiseerde tremulanten worden snelheid en diepte in de ODF vastgelegd. Er is echter geen fysisch windmodel dat de tremulant aandrijft — het betreft een eenvoudiger, direct gemoduleerd effect op het geluidssignaal.</w:t>
      </w:r>
    </w:p>
    <w:p>
      <w:pPr>
        <w:pStyle w:val="Heading2"/>
      </w:pPr>
      <w:r>
        <w:t xml:space="preserve">Zwelkasten (Enclosures)</w:t>
      </w:r>
    </w:p>
    <w:p>
      <w:pPr>
        <w:pStyle w:val="Heading3"/>
      </w:pPr>
      <w:r>
        <w:t xml:space="preserve">Hauptwerk</w:t>
      </w:r>
    </w:p>
    <w:p>
      <w:pPr>
        <w:spacing w:after="120"/>
      </w:pPr>
      <w:r>
        <w:t xml:space="preserve">De zwelkast is een fysisch gemodelleerde omhulling. De ODF definieert hoe het openen en sluiten van de zwelkastlamellen het volume, de klankkleur (timbre) en het frequentiespectrum van de ingesloten pijpen beïnvloedt. De expressie-respons is gebaseerd op metingen van het originele instrument. In de Advanced Edition zijn volledige instellingen beschikbaar voor expressie, tremulanten en windmodellering per individuele pijp.</w:t>
      </w:r>
    </w:p>
    <w:p>
      <w:pPr>
        <w:pStyle w:val="Heading3"/>
      </w:pPr>
      <w:r>
        <w:t xml:space="preserve">GrandOrgue</w:t>
      </w:r>
    </w:p>
    <w:p>
      <w:pPr>
        <w:spacing w:after="200"/>
      </w:pPr>
      <w:r>
        <w:t xml:space="preserve">In GrandOrgue wordt een zwelkast gedefinieerd met een naam, een minimum-amplitudeniveau (wanneer gesloten) en weergave-opties. Een windlade wordt aan een zwelkast toegewezen, en het volume van alle pijpenrijen op die windlade wordt geregeld door de zwelkastpositie. Er is geen fysische modellering van klankkleurverandering — alleen volumewijziging.</w:t>
      </w:r>
    </w:p>
    <w:p>
      <w:pPr>
        <w:pStyle w:val="Heading1"/>
      </w:pPr>
      <w:r>
        <w:t xml:space="preserve">6. Vergelijking op hoofdpunten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Hauptwerk</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GrandOrgue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bCs/>
                <w:sz w:val="19"/>
                <w:szCs w:val="19"/>
              </w:rPr>
              <w:t xml:space="preserve">Bestandsformaat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XML (.xml)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INI-achtig (.organ)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19"/>
                <w:szCs w:val="19"/>
              </w:rPr>
              <w:t xml:space="preserve">Complexiteit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Zeer complex, nauwelijks handmatig bewerkbaar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Relatief eenvoudig, bewerkbaar met teksteditor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bCs/>
                <w:sz w:val="19"/>
                <w:szCs w:val="19"/>
              </w:rPr>
              <w:t xml:space="preserve">Windmodel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Volledig fysisch gemodelleerd (vloeistofdynamica)</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Niet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19"/>
                <w:szCs w:val="19"/>
              </w:rPr>
              <w:t xml:space="preserve">Tremulanten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LFO-samples + fysisch windmodel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Wave-based of gesynthetiseerd (eenvoudig)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bCs/>
                <w:sz w:val="19"/>
                <w:szCs w:val="19"/>
              </w:rPr>
              <w:t xml:space="preserve">Zwelkasten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Volume + klankkleur + frequentiespectrum</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Alleen volumewijziging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19"/>
                <w:szCs w:val="19"/>
              </w:rPr>
              <w:t xml:space="preserve">Editors / tools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CODM, Organ Generator, XML-editors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9"/>
                <w:szCs w:val="19"/>
              </w:rPr>
              <w:t xml:space="preserve">GoOdf, OdfEdit, jMakeOdf</w:t>
            </w:r>
          </w:p>
        </w:tc>
      </w:tr>
    </w:tbl>
    <w:p>
      <w:pPr>
        <w:pStyle w:val="Heading1"/>
        <w:spacing w:before="400"/>
      </w:pPr>
      <w:r>
        <w:t xml:space="preserve">7. Conclusie</w:t>
      </w:r>
    </w:p>
    <w:p>
      <w:pPr>
        <w:spacing w:after="120"/>
      </w:pPr>
      <w:r>
        <w:t xml:space="preserve">Hauptwerk biedt voor alle besproken onderdelen een aanzienlijk diepere, fysisch gemodelleerde benadering. Het windmodel, de tremulanten en de zwelkasten werken samen als een geïntegreerd fysisch systeem dat de luchtstroming door het orgel nabootst. Dit resulteert in subtiele maar hoorbare effecten zoals windstelen, drukschommelingen en realistische tremulant-respons.</w:t>
      </w:r>
    </w:p>
    <w:p>
      <w:pPr>
        <w:spacing w:after="120"/>
      </w:pPr>
      <w:r>
        <w:t xml:space="preserve">GrandOrgue biedt een eenvoudigere maar functionele implementatie. Het mist het windmodel en de geavanceerde klankkleurmodellering van de zwelkasten, maar het open-source karakter en het leesbare bestandsformaat maken het toegankelijker voor wie zelf orgeldefinities wil maken of aanpassen.</w:t>
      </w:r>
    </w:p>
    <w:p>
      <w:pPr>
        <w:spacing w:after="120"/>
      </w:pPr>
      <w:r>
        <w:t xml:space="preserve">Conversie van Hauptwerk naar GrandOrgue is mogelijk met tools als OdfEdit en GoOdf, maar vanwege de verschillen in mogelijkheden zal het resultaat altijd enig handmatig nawerk vereisen en bepaalde functies missen.</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2026-03-18T16:53:56.457Z</dcterms:created>
  <dcterms:modified xsi:type="dcterms:W3CDTF">2026-03-18T16:53:56.459Z</dcterms:modified>
</cp:coreProperties>
</file>

<file path=docProps/custom.xml><?xml version="1.0" encoding="utf-8"?>
<Properties xmlns="http://schemas.openxmlformats.org/officeDocument/2006/custom-properties" xmlns:vt="http://schemas.openxmlformats.org/officeDocument/2006/docPropsVTypes"/>
</file>