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B1F57" w:color="auto" w:val="clear"/>
            <w:tcMar>
              <w:top w:type="dxa" w:w="260"/>
              <w:left w:type="dxa" w:w="300"/>
              <w:bottom w:type="dxa" w:w="260"/>
              <w:right w:type="dxa" w:w="300"/>
            </w:tcMar>
          </w:tcPr>
          <w:p>
            <w:pPr>
              <w:bidi/>
              <w:spacing w:after="80"/>
            </w:pPr>
            <w:r>
              <w:rPr>
                <w:rFonts w:ascii="Arial" w:cs="Arial" w:eastAsia="Arial" w:hAnsi="Arial"/>
                <w:b/>
                <w:bCs/>
                <w:i w:val="false"/>
                <w:iCs w:val="false"/>
                <w:color w:val="FFFFFF"/>
                <w:sz w:val="36"/>
                <w:szCs w:val="36"/>
                <w:rtl/>
              </w:rPr>
              <w:t xml:space="preserve">تقرير تحليلي: مهاراتي في تحليل البيانات والأعمال</w:t>
            </w:r>
          </w:p>
          <w:p>
            <w:pPr>
              <w:bidi/>
              <w:spacing w:after="60"/>
            </w:pPr>
            <w:r>
              <w:rPr>
                <w:rFonts w:ascii="Arial" w:cs="Arial" w:eastAsia="Arial" w:hAnsi="Arial"/>
                <w:b/>
                <w:bCs/>
                <w:i w:val="false"/>
                <w:iCs w:val="false"/>
                <w:color w:val="C4A3A3"/>
                <w:sz w:val="28"/>
                <w:szCs w:val="28"/>
                <w:rtl/>
              </w:rPr>
              <w:t xml:space="preserve">أرجوان بهاء دنديني</w:t>
            </w:r>
          </w:p>
          <w:p>
            <w:pPr>
              <w:bidi/>
              <w:spacing w:after="0"/>
            </w:pPr>
            <w:r>
              <w:rPr>
                <w:rFonts w:ascii="Arial" w:cs="Arial" w:eastAsia="Arial" w:hAnsi="Arial"/>
                <w:b w:val="false"/>
                <w:i w:val="false"/>
                <w:iCs w:val="false"/>
                <w:color w:val="EADCDC"/>
                <w:sz w:val="20"/>
                <w:szCs w:val="20"/>
                <w:rtl/>
              </w:rPr>
              <w:t xml:space="preserve">حالة تطبيقية: ChicClick، فكرة ريادية قدّمتها في معسكر الأعمال الريادية الجامعية</w:t>
            </w:r>
          </w:p>
        </w:tc>
      </w:tr>
    </w:tbl>
    <w:p>
      <w:pPr>
        <w:spacing w:after="140" w:before="0"/>
      </w:pPr>
    </w:p>
    <w:p>
      <w:pPr>
        <w:keepNext/>
        <w:bidi/>
        <w:spacing w:after="80" w:before="180"/>
      </w:pPr>
      <w:r>
        <w:rPr>
          <w:rFonts w:ascii="Arial" w:cs="Arial" w:eastAsia="Arial" w:hAnsi="Arial"/>
          <w:b/>
          <w:bCs/>
          <w:i w:val="false"/>
          <w:iCs w:val="false"/>
          <w:color w:val="3B1F57"/>
          <w:sz w:val="25"/>
          <w:szCs w:val="25"/>
          <w:rtl/>
        </w:rPr>
        <w:t xml:space="preserve">ملخص تنفيذي</w:t>
      </w:r>
    </w:p>
    <w:p>
      <w:pPr>
        <w:bidi/>
        <w:spacing w:after="100" w:before="0" w:line="300"/>
      </w:pPr>
      <w:r>
        <w:rPr>
          <w:rFonts w:ascii="Arial" w:cs="Arial" w:eastAsia="Arial" w:hAnsi="Arial"/>
          <w:b w:val="false"/>
          <w:i w:val="false"/>
          <w:iCs w:val="false"/>
          <w:color w:val="2B2B2B"/>
          <w:sz w:val="21"/>
          <w:szCs w:val="21"/>
          <w:rtl/>
        </w:rPr>
        <w:t xml:space="preserve">توجهي المهني الحالي هو تحليل البيانات وتحليل الأعمال. أعرض في هذا التقرير مهاراتي من خلال ChicClick، وهي فكرة ريادية لمنصة حجز مواعيد الصالونات في السعودية، قدمتها في معسكر الأعمال الريادية الجامعية. المشروع فكرة دراسية ولن أطبقها، وأعتمد عليه هنا لأنه حالة كاملة مررت فيها بدورة العمل التحليلي: تحديد المشكلة، ثم تصميم أداة جمع البيانات، ثم جمع الإجابات وتحليلها، ثم تحويل النتائج إلى قرارات ونموذج مالي. وأذكر كذلك حدود عملي وما أعمل على تطويره.</w:t>
      </w:r>
    </w:p>
    <w:p>
      <w:pPr>
        <w:spacing w:after="60" w:before="0"/>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7"/>
        <w:gridCol w:w="2476"/>
        <w:gridCol w:w="2477"/>
      </w:tblGrid>
      <w:tr>
        <w:tc>
          <w:tcPr>
            <w:tcW w:type="dxa" w:w="2476"/>
            <w:tcBorders>
              <w:top w:val="single" w:color="D9C7C7" w:sz="4"/>
              <w:left w:val="single" w:color="D9C7C7" w:sz="4"/>
              <w:bottom w:val="single" w:color="D9C7C7" w:sz="4"/>
              <w:right w:val="single" w:color="D9C7C7" w:sz="4"/>
            </w:tcBorders>
            <w:shd w:fill="F4EAEA" w:color="auto" w:val="clear"/>
            <w:tcMar>
              <w:top w:type="dxa" w:w="70"/>
              <w:left w:type="dxa" w:w="110"/>
              <w:bottom w:type="dxa" w:w="70"/>
              <w:right w:type="dxa" w:w="110"/>
            </w:tcMar>
            <w:vAlign w:val="center"/>
          </w:tcPr>
          <w:p>
            <w:pPr>
              <w:bidi/>
              <w:spacing w:after="20"/>
              <w:jc w:val="center"/>
            </w:pPr>
            <w:r>
              <w:rPr>
                <w:rFonts w:ascii="Arial" w:cs="Arial" w:eastAsia="Arial" w:hAnsi="Arial"/>
                <w:b/>
                <w:bCs/>
                <w:i w:val="false"/>
                <w:iCs w:val="false"/>
                <w:color w:val="3B1F57"/>
                <w:sz w:val="38"/>
                <w:szCs w:val="38"/>
                <w:rtl/>
              </w:rPr>
              <w:t xml:space="preserve">44</w:t>
            </w:r>
          </w:p>
          <w:p>
            <w:pPr>
              <w:bidi/>
              <w:spacing w:after="0"/>
              <w:jc w:val="center"/>
            </w:pPr>
            <w:r>
              <w:rPr>
                <w:rFonts w:ascii="Arial" w:cs="Arial" w:eastAsia="Arial" w:hAnsi="Arial"/>
                <w:b w:val="false"/>
                <w:i w:val="false"/>
                <w:iCs w:val="false"/>
                <w:color w:val="7A7A5F"/>
                <w:sz w:val="17"/>
                <w:szCs w:val="17"/>
                <w:rtl/>
              </w:rPr>
              <w:t xml:space="preserve">إجابة جمعتها وحللتها</w:t>
            </w:r>
          </w:p>
        </w:tc>
        <w:tc>
          <w:tcPr>
            <w:tcW w:type="dxa" w:w="2477"/>
            <w:tcBorders>
              <w:top w:val="single" w:color="D9C7C7" w:sz="4"/>
              <w:left w:val="single" w:color="D9C7C7" w:sz="4"/>
              <w:bottom w:val="single" w:color="D9C7C7" w:sz="4"/>
              <w:right w:val="single" w:color="D9C7C7" w:sz="4"/>
            </w:tcBorders>
            <w:shd w:fill="F4EAEA" w:color="auto" w:val="clear"/>
            <w:tcMar>
              <w:top w:type="dxa" w:w="70"/>
              <w:left w:type="dxa" w:w="110"/>
              <w:bottom w:type="dxa" w:w="70"/>
              <w:right w:type="dxa" w:w="110"/>
            </w:tcMar>
            <w:vAlign w:val="center"/>
          </w:tcPr>
          <w:p>
            <w:pPr>
              <w:bidi/>
              <w:spacing w:after="20"/>
              <w:jc w:val="center"/>
            </w:pPr>
            <w:r>
              <w:rPr>
                <w:rFonts w:ascii="Arial" w:cs="Arial" w:eastAsia="Arial" w:hAnsi="Arial"/>
                <w:b/>
                <w:bCs/>
                <w:i w:val="false"/>
                <w:iCs w:val="false"/>
                <w:color w:val="3B1F57"/>
                <w:sz w:val="38"/>
                <w:szCs w:val="38"/>
                <w:rtl/>
              </w:rPr>
              <w:t xml:space="preserve">9</w:t>
            </w:r>
          </w:p>
          <w:p>
            <w:pPr>
              <w:bidi/>
              <w:spacing w:after="0"/>
              <w:jc w:val="center"/>
            </w:pPr>
            <w:r>
              <w:rPr>
                <w:rFonts w:ascii="Arial" w:cs="Arial" w:eastAsia="Arial" w:hAnsi="Arial"/>
                <w:b w:val="false"/>
                <w:i w:val="false"/>
                <w:iCs w:val="false"/>
                <w:color w:val="7A7A5F"/>
                <w:sz w:val="17"/>
                <w:szCs w:val="17"/>
                <w:rtl/>
              </w:rPr>
              <w:t xml:space="preserve">أسئلة صممتها للاستبيان</w:t>
            </w:r>
          </w:p>
        </w:tc>
        <w:tc>
          <w:tcPr>
            <w:tcW w:type="dxa" w:w="2476"/>
            <w:tcBorders>
              <w:top w:val="single" w:color="D9C7C7" w:sz="4"/>
              <w:left w:val="single" w:color="D9C7C7" w:sz="4"/>
              <w:bottom w:val="single" w:color="D9C7C7" w:sz="4"/>
              <w:right w:val="single" w:color="D9C7C7" w:sz="4"/>
            </w:tcBorders>
            <w:shd w:fill="F4EAEA" w:color="auto" w:val="clear"/>
            <w:tcMar>
              <w:top w:type="dxa" w:w="70"/>
              <w:left w:type="dxa" w:w="110"/>
              <w:bottom w:type="dxa" w:w="70"/>
              <w:right w:type="dxa" w:w="110"/>
            </w:tcMar>
            <w:vAlign w:val="center"/>
          </w:tcPr>
          <w:p>
            <w:pPr>
              <w:bidi/>
              <w:spacing w:after="20"/>
              <w:jc w:val="center"/>
            </w:pPr>
            <w:r>
              <w:rPr>
                <w:rFonts w:ascii="Arial" w:cs="Arial" w:eastAsia="Arial" w:hAnsi="Arial"/>
                <w:b/>
                <w:bCs/>
                <w:i w:val="false"/>
                <w:iCs w:val="false"/>
                <w:color w:val="3B1F57"/>
                <w:sz w:val="38"/>
                <w:szCs w:val="38"/>
                <w:rtl/>
              </w:rPr>
              <w:t xml:space="preserve">6</w:t>
            </w:r>
          </w:p>
          <w:p>
            <w:pPr>
              <w:bidi/>
              <w:spacing w:after="0"/>
              <w:jc w:val="center"/>
            </w:pPr>
            <w:r>
              <w:rPr>
                <w:rFonts w:ascii="Arial" w:cs="Arial" w:eastAsia="Arial" w:hAnsi="Arial"/>
                <w:b w:val="false"/>
                <w:i w:val="false"/>
                <w:iCs w:val="false"/>
                <w:color w:val="7A7A5F"/>
                <w:sz w:val="17"/>
                <w:szCs w:val="17"/>
                <w:rtl/>
              </w:rPr>
              <w:t xml:space="preserve">أيام لجمع البيانات</w:t>
            </w:r>
          </w:p>
        </w:tc>
        <w:tc>
          <w:tcPr>
            <w:tcW w:type="dxa" w:w="2477"/>
            <w:tcBorders>
              <w:top w:val="single" w:color="D9C7C7" w:sz="4"/>
              <w:left w:val="single" w:color="D9C7C7" w:sz="4"/>
              <w:bottom w:val="single" w:color="D9C7C7" w:sz="4"/>
              <w:right w:val="single" w:color="D9C7C7" w:sz="4"/>
            </w:tcBorders>
            <w:shd w:fill="F4EAEA" w:color="auto" w:val="clear"/>
            <w:tcMar>
              <w:top w:type="dxa" w:w="70"/>
              <w:left w:type="dxa" w:w="110"/>
              <w:bottom w:type="dxa" w:w="70"/>
              <w:right w:type="dxa" w:w="110"/>
            </w:tcMar>
            <w:vAlign w:val="center"/>
          </w:tcPr>
          <w:p>
            <w:pPr>
              <w:bidi/>
              <w:spacing w:after="20"/>
              <w:jc w:val="center"/>
            </w:pPr>
            <w:r>
              <w:rPr>
                <w:rFonts w:ascii="Arial" w:cs="Arial" w:eastAsia="Arial" w:hAnsi="Arial"/>
                <w:b/>
                <w:bCs/>
                <w:i w:val="false"/>
                <w:iCs w:val="false"/>
                <w:color w:val="3B1F57"/>
                <w:sz w:val="38"/>
                <w:szCs w:val="38"/>
                <w:rtl/>
              </w:rPr>
              <w:t xml:space="preserve">8</w:t>
            </w:r>
          </w:p>
          <w:p>
            <w:pPr>
              <w:bidi/>
              <w:spacing w:after="0"/>
              <w:jc w:val="center"/>
            </w:pPr>
            <w:r>
              <w:rPr>
                <w:rFonts w:ascii="Arial" w:cs="Arial" w:eastAsia="Arial" w:hAnsi="Arial"/>
                <w:b w:val="false"/>
                <w:i w:val="false"/>
                <w:iCs w:val="false"/>
                <w:color w:val="7A7A5F"/>
                <w:sz w:val="17"/>
                <w:szCs w:val="17"/>
                <w:rtl/>
              </w:rPr>
              <w:t xml:space="preserve">معايير في التحليل التنافسي</w:t>
            </w:r>
          </w:p>
        </w:tc>
      </w:tr>
    </w:tbl>
    <w:p>
      <w:pPr>
        <w:spacing w:after="100" w:before="0"/>
      </w:pPr>
    </w:p>
    <w:p>
      <w:pPr>
        <w:keepNext/>
        <w:bidi/>
        <w:spacing w:after="80" w:before="180"/>
      </w:pPr>
      <w:r>
        <w:rPr>
          <w:rFonts w:ascii="Arial" w:cs="Arial" w:eastAsia="Arial" w:hAnsi="Arial"/>
          <w:b/>
          <w:bCs/>
          <w:i w:val="false"/>
          <w:iCs w:val="false"/>
          <w:color w:val="3B1F57"/>
          <w:sz w:val="25"/>
          <w:szCs w:val="25"/>
          <w:rtl/>
        </w:rPr>
        <w:t xml:space="preserve">مصفوفة المهارات والأدلة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706"/>
        <w:gridCol w:w="1800"/>
      </w:tblGrid>
      <w:tr>
        <w:trPr>
          <w:cantSplit/>
          <w:tblHeader/>
        </w:trPr>
        <w:tc>
          <w:tcPr>
            <w:tcW w:type="dxa" w:w="1900"/>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المجال</w:t>
            </w:r>
          </w:p>
        </w:tc>
        <w:tc>
          <w:tcPr>
            <w:tcW w:type="dxa" w:w="2500"/>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المهارة</w:t>
            </w:r>
          </w:p>
        </w:tc>
        <w:tc>
          <w:tcPr>
            <w:tcW w:type="dxa" w:w="3706"/>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الدليل من عملي</w:t>
            </w:r>
          </w:p>
        </w:tc>
        <w:tc>
          <w:tcPr>
            <w:tcW w:type="dxa" w:w="1800"/>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قوة الدليل</w:t>
            </w:r>
          </w:p>
        </w:tc>
      </w:tr>
      <w:tr>
        <w:trPr>
          <w:cantSplit/>
        </w:trPr>
        <w:tc>
          <w:tcPr>
            <w:tcW w:type="dxa" w:w="19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9"/>
                <w:szCs w:val="19"/>
                <w:rtl/>
              </w:rPr>
              <w:t xml:space="preserve">تصميم أدوات جمع البيانات</w:t>
            </w:r>
          </w:p>
        </w:tc>
        <w:tc>
          <w:tcPr>
            <w:tcW w:type="dxa" w:w="25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صياغة الأسئلة، ربط كل سؤال بفرضية، اختيار مقياس الإجابة</w:t>
            </w:r>
          </w:p>
        </w:tc>
        <w:tc>
          <w:tcPr>
            <w:tcW w:type="dxa" w:w="3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استبيان من 9 أسئلة مغلقة، وكل سؤال يقيس محورًا محددًا من ستة محاور (الصفحة 2)</w:t>
            </w:r>
          </w:p>
        </w:tc>
        <w:tc>
          <w:tcPr>
            <w:tcW w:type="dxa" w:w="1800"/>
            <w:tcBorders>
              <w:top w:val="single" w:color="D9C7C7" w:sz="4"/>
              <w:left w:val="single" w:color="D9C7C7" w:sz="4"/>
              <w:bottom w:val="single" w:color="D9C7C7" w:sz="4"/>
              <w:right w:val="single" w:color="D9C7C7" w:sz="4"/>
            </w:tcBorders>
            <w:shd w:fill="E3C9CF"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موثّق</w:t>
            </w:r>
          </w:p>
        </w:tc>
      </w:tr>
      <w:tr>
        <w:trPr>
          <w:cantSplit/>
        </w:trPr>
        <w:tc>
          <w:tcPr>
            <w:tcW w:type="dxa" w:w="19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9"/>
                <w:szCs w:val="19"/>
                <w:rtl/>
              </w:rPr>
              <w:t xml:space="preserve">جمع البيانات وتنظيمها</w:t>
            </w:r>
          </w:p>
        </w:tc>
        <w:tc>
          <w:tcPr>
            <w:tcW w:type="dxa" w:w="25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التوزيع الإلكتروني، الحصول على عينة، التحقق من اكتمال الملف</w:t>
            </w:r>
          </w:p>
        </w:tc>
        <w:tc>
          <w:tcPr>
            <w:tcW w:type="dxa" w:w="3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44 إجابة خلال 6 أيام، والملف الخام مكتمل بلا قيم مفقودة</w:t>
            </w:r>
          </w:p>
        </w:tc>
        <w:tc>
          <w:tcPr>
            <w:tcW w:type="dxa" w:w="1800"/>
            <w:tcBorders>
              <w:top w:val="single" w:color="D9C7C7" w:sz="4"/>
              <w:left w:val="single" w:color="D9C7C7" w:sz="4"/>
              <w:bottom w:val="single" w:color="D9C7C7" w:sz="4"/>
              <w:right w:val="single" w:color="D9C7C7" w:sz="4"/>
            </w:tcBorders>
            <w:shd w:fill="E3C9CF"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موثّق</w:t>
            </w:r>
          </w:p>
        </w:tc>
      </w:tr>
      <w:tr>
        <w:trPr>
          <w:cantSplit/>
        </w:trPr>
        <w:tc>
          <w:tcPr>
            <w:tcW w:type="dxa" w:w="19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9"/>
                <w:szCs w:val="19"/>
                <w:rtl/>
              </w:rPr>
              <w:t xml:space="preserve">التحليل الوصفي</w:t>
            </w:r>
          </w:p>
        </w:tc>
        <w:tc>
          <w:tcPr>
            <w:tcW w:type="dxa" w:w="25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التكرارات والنسب المئوية، مقارنة الإجابات، دمج الفئات</w:t>
            </w:r>
          </w:p>
        </w:tc>
        <w:tc>
          <w:tcPr>
            <w:tcW w:type="dxa" w:w="3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نسب لكل سؤال، ودمج «نعم» و«ربما» لقياس حجم المشكلة (81.8%)</w:t>
            </w:r>
          </w:p>
        </w:tc>
        <w:tc>
          <w:tcPr>
            <w:tcW w:type="dxa" w:w="1800"/>
            <w:tcBorders>
              <w:top w:val="single" w:color="D9C7C7" w:sz="4"/>
              <w:left w:val="single" w:color="D9C7C7" w:sz="4"/>
              <w:bottom w:val="single" w:color="D9C7C7" w:sz="4"/>
              <w:right w:val="single" w:color="D9C7C7" w:sz="4"/>
            </w:tcBorders>
            <w:shd w:fill="E3C9CF"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موثّق</w:t>
            </w:r>
          </w:p>
        </w:tc>
      </w:tr>
      <w:tr>
        <w:trPr>
          <w:cantSplit/>
        </w:trPr>
        <w:tc>
          <w:tcPr>
            <w:tcW w:type="dxa" w:w="19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9"/>
                <w:szCs w:val="19"/>
                <w:rtl/>
              </w:rPr>
              <w:t xml:space="preserve">عرض البيانات وسرد النتائج</w:t>
            </w:r>
          </w:p>
        </w:tc>
        <w:tc>
          <w:tcPr>
            <w:tcW w:type="dxa" w:w="25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جداول وتمثيل بصري، تلخيص النتائج لجمهور غير متخصص</w:t>
            </w:r>
          </w:p>
        </w:tc>
        <w:tc>
          <w:tcPr>
            <w:tcW w:type="dxa" w:w="3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جدول حراري للنتائج، وعرض من 13 شريحة، ومطوية تعريفية</w:t>
            </w:r>
          </w:p>
        </w:tc>
        <w:tc>
          <w:tcPr>
            <w:tcW w:type="dxa" w:w="1800"/>
            <w:tcBorders>
              <w:top w:val="single" w:color="D9C7C7" w:sz="4"/>
              <w:left w:val="single" w:color="D9C7C7" w:sz="4"/>
              <w:bottom w:val="single" w:color="D9C7C7" w:sz="4"/>
              <w:right w:val="single" w:color="D9C7C7" w:sz="4"/>
            </w:tcBorders>
            <w:shd w:fill="E3C9CF"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موثّق</w:t>
            </w:r>
          </w:p>
        </w:tc>
      </w:tr>
      <w:tr>
        <w:trPr>
          <w:cantSplit/>
        </w:trPr>
        <w:tc>
          <w:tcPr>
            <w:tcW w:type="dxa" w:w="19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9"/>
                <w:szCs w:val="19"/>
                <w:rtl/>
              </w:rPr>
              <w:t xml:space="preserve">تحليل السوق والمنافسين</w:t>
            </w:r>
          </w:p>
        </w:tc>
        <w:tc>
          <w:tcPr>
            <w:tcW w:type="dxa" w:w="25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تقدير حجم السوق، مقارنة المنافسين بمعايير موحدة</w:t>
            </w:r>
          </w:p>
        </w:tc>
        <w:tc>
          <w:tcPr>
            <w:tcW w:type="dxa" w:w="3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سوق من أكثر من 25 ألف صالون، وفرضية 500 صالون (2%)، ومقارنة 8 معايير مع 3 منصات</w:t>
            </w:r>
          </w:p>
        </w:tc>
        <w:tc>
          <w:tcPr>
            <w:tcW w:type="dxa" w:w="1800"/>
            <w:tcBorders>
              <w:top w:val="single" w:color="D9C7C7" w:sz="4"/>
              <w:left w:val="single" w:color="D9C7C7" w:sz="4"/>
              <w:bottom w:val="single" w:color="D9C7C7" w:sz="4"/>
              <w:right w:val="single" w:color="D9C7C7" w:sz="4"/>
            </w:tcBorders>
            <w:shd w:fill="E3C9CF"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موثّق</w:t>
            </w:r>
          </w:p>
        </w:tc>
      </w:tr>
      <w:tr>
        <w:trPr>
          <w:cantSplit/>
        </w:trPr>
        <w:tc>
          <w:tcPr>
            <w:tcW w:type="dxa" w:w="19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9"/>
                <w:szCs w:val="19"/>
                <w:rtl/>
              </w:rPr>
              <w:t xml:space="preserve">النمذجة المالية</w:t>
            </w:r>
          </w:p>
        </w:tc>
        <w:tc>
          <w:tcPr>
            <w:tcW w:type="dxa" w:w="25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نموذج إيرادات، تقدير تكاليف، نقطة التعادل</w:t>
            </w:r>
          </w:p>
        </w:tc>
        <w:tc>
          <w:tcPr>
            <w:tcW w:type="dxa" w:w="3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إيرادات سنوية مقدّرة 954 ألف ريال؛ نقطة التعادل تقدير ولم أبنها على جدول شهري</w:t>
            </w:r>
          </w:p>
        </w:tc>
        <w:tc>
          <w:tcPr>
            <w:tcW w:type="dxa" w:w="1800"/>
            <w:tcBorders>
              <w:top w:val="single" w:color="D9C7C7" w:sz="4"/>
              <w:left w:val="single" w:color="D9C7C7" w:sz="4"/>
              <w:bottom w:val="single" w:color="D9C7C7" w:sz="4"/>
              <w:right w:val="single" w:color="D9C7C7" w:sz="4"/>
            </w:tcBorders>
            <w:shd w:fill="F4EAEA"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موثّق جزئيًا</w:t>
            </w:r>
          </w:p>
        </w:tc>
      </w:tr>
      <w:tr>
        <w:trPr>
          <w:cantSplit/>
        </w:trPr>
        <w:tc>
          <w:tcPr>
            <w:tcW w:type="dxa" w:w="19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9"/>
                <w:szCs w:val="19"/>
                <w:rtl/>
              </w:rPr>
              <w:t xml:space="preserve">تحليل الأعمال والتسعير</w:t>
            </w:r>
          </w:p>
        </w:tc>
        <w:tc>
          <w:tcPr>
            <w:tcW w:type="dxa" w:w="25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نموذج الربح، شرائح العملاء، القيمة المقدمة</w:t>
            </w:r>
          </w:p>
        </w:tc>
        <w:tc>
          <w:tcPr>
            <w:tcW w:type="dxa" w:w="3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اشتراك بباقتين (149 و199 ريالًا) مع عمولة على الحجوزات</w:t>
            </w:r>
          </w:p>
        </w:tc>
        <w:tc>
          <w:tcPr>
            <w:tcW w:type="dxa" w:w="1800"/>
            <w:tcBorders>
              <w:top w:val="single" w:color="D9C7C7" w:sz="4"/>
              <w:left w:val="single" w:color="D9C7C7" w:sz="4"/>
              <w:bottom w:val="single" w:color="D9C7C7" w:sz="4"/>
              <w:right w:val="single" w:color="D9C7C7" w:sz="4"/>
            </w:tcBorders>
            <w:shd w:fill="E3C9CF"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موثّق</w:t>
            </w:r>
          </w:p>
        </w:tc>
      </w:tr>
      <w:tr>
        <w:trPr>
          <w:cantSplit/>
        </w:trPr>
        <w:tc>
          <w:tcPr>
            <w:tcW w:type="dxa" w:w="19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9"/>
                <w:szCs w:val="19"/>
                <w:rtl/>
              </w:rPr>
              <w:t xml:space="preserve">الاستدلال الإحصائي وأدوات التحليل المتقدمة</w:t>
            </w:r>
          </w:p>
        </w:tc>
        <w:tc>
          <w:tcPr>
            <w:tcW w:type="dxa" w:w="25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اختبارات الدلالة، تحليل الحساسية، برمجة التحليل</w:t>
            </w:r>
          </w:p>
        </w:tc>
        <w:tc>
          <w:tcPr>
            <w:tcW w:type="dxa" w:w="3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لم تدخل في هذا المشروع، وهي أولوية تطوير عندي</w:t>
            </w:r>
          </w:p>
        </w:tc>
        <w:tc>
          <w:tcPr>
            <w:tcW w:type="dxa" w:w="1800"/>
            <w:tcBorders>
              <w:top w:val="single" w:color="D9C7C7" w:sz="4"/>
              <w:left w:val="single" w:color="D9C7C7" w:sz="4"/>
              <w:bottom w:val="single" w:color="D9C7C7" w:sz="4"/>
              <w:right w:val="single" w:color="D9C7C7" w:sz="4"/>
            </w:tcBorders>
            <w:shd w:fill="EDEDED"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أطوّره حاليًا</w:t>
            </w:r>
          </w:p>
        </w:tc>
      </w:tr>
    </w:tbl>
    <w:p>
      <w:pPr>
        <w:bidi/>
        <w:spacing w:after="0" w:before="80" w:line="300"/>
      </w:pPr>
      <w:r>
        <w:rPr>
          <w:rFonts w:ascii="Arial" w:cs="Arial" w:eastAsia="Arial" w:hAnsi="Arial"/>
          <w:b w:val="false"/>
          <w:i w:val="false"/>
          <w:iCs w:val="false"/>
          <w:color w:val="7A7A5F"/>
          <w:sz w:val="17"/>
          <w:szCs w:val="17"/>
          <w:rtl/>
        </w:rPr>
        <w:t xml:space="preserve">«موثّق» يعني أن الدليل ظاهر في ملفات المشروع. «موثّق جزئيًا» يعني أن العمل موجود لكنه تقديري. «أطوّره حاليًا» يعني أنه خارج ما أنجزته في هذا المشروع.</w:t>
      </w:r>
    </w:p>
    <w:p>
      <w:r>
        <w:br w:type="page"/>
      </w:r>
    </w:p>
    <w:p>
      <w:pPr>
        <w:keepNext/>
        <w:pBdr>
          <w:bottom w:val="single" w:color="C4A3A3" w:sz="12" w:space="4"/>
        </w:pBdr>
        <w:bidi/>
        <w:spacing w:after="140" w:before="0"/>
      </w:pPr>
      <w:r>
        <w:rPr>
          <w:rFonts w:ascii="Arial" w:cs="Arial" w:eastAsia="Arial" w:hAnsi="Arial"/>
          <w:b/>
          <w:bCs/>
          <w:i w:val="false"/>
          <w:iCs w:val="false"/>
          <w:color w:val="3B1F57"/>
          <w:sz w:val="32"/>
          <w:szCs w:val="32"/>
          <w:rtl/>
        </w:rPr>
        <w:t xml:space="preserve">تصميم الدراسة وجمع البيانات</w:t>
      </w:r>
    </w:p>
    <w:p>
      <w:pPr>
        <w:keepNext/>
        <w:bidi/>
        <w:spacing w:after="80" w:before="180"/>
      </w:pPr>
      <w:r>
        <w:rPr>
          <w:rFonts w:ascii="Arial" w:cs="Arial" w:eastAsia="Arial" w:hAnsi="Arial"/>
          <w:b/>
          <w:bCs/>
          <w:i w:val="false"/>
          <w:iCs w:val="false"/>
          <w:color w:val="3B1F57"/>
          <w:sz w:val="25"/>
          <w:szCs w:val="25"/>
          <w:rtl/>
        </w:rPr>
        <w:t xml:space="preserve">السؤال الذي انطلقت منه</w:t>
      </w:r>
    </w:p>
    <w:p>
      <w:pPr>
        <w:bidi/>
        <w:spacing w:after="100" w:before="0" w:line="300"/>
      </w:pPr>
      <w:r>
        <w:rPr>
          <w:rFonts w:ascii="Arial" w:cs="Arial" w:eastAsia="Arial" w:hAnsi="Arial"/>
          <w:b w:val="false"/>
          <w:i w:val="false"/>
          <w:iCs w:val="false"/>
          <w:color w:val="2B2B2B"/>
          <w:sz w:val="21"/>
          <w:szCs w:val="21"/>
          <w:rtl/>
        </w:rPr>
        <w:t xml:space="preserve">لاحظت أن حجز موعد في الصالون يتطلب غالبًا زيارة شخصية، وأن الرد على الرسائل متأخر أو غائب، وأن تغيير الموعد صعب، وأن الحلول الرقمية المتخصصة قليلة. لم أكتفِ بالملاحظة، فصغت السؤال البحثي التالي: هل توجد حاجة حقيقية لدى السيدات إلى منصة تحجز مواعيد الصالونات إلكترونيًا، وما الميزات التي تستحق الأولوية؟</w:t>
      </w:r>
    </w:p>
    <w:p>
      <w:pPr>
        <w:keepNext/>
        <w:bidi/>
        <w:spacing w:after="80" w:before="180"/>
      </w:pPr>
      <w:r>
        <w:rPr>
          <w:rFonts w:ascii="Arial" w:cs="Arial" w:eastAsia="Arial" w:hAnsi="Arial"/>
          <w:b/>
          <w:bCs/>
          <w:i w:val="false"/>
          <w:iCs w:val="false"/>
          <w:color w:val="3B1F57"/>
          <w:sz w:val="25"/>
          <w:szCs w:val="25"/>
          <w:rtl/>
        </w:rPr>
        <w:t xml:space="preserve">فكرة المنتج بإيجاز</w:t>
      </w:r>
    </w:p>
    <w:p>
      <w:pPr>
        <w:bidi/>
        <w:spacing w:after="100" w:before="0" w:line="300"/>
      </w:pPr>
      <w:r>
        <w:rPr>
          <w:rFonts w:ascii="Arial" w:cs="Arial" w:eastAsia="Arial" w:hAnsi="Arial"/>
          <w:b w:val="false"/>
          <w:i w:val="false"/>
          <w:iCs w:val="false"/>
          <w:color w:val="2B2B2B"/>
          <w:sz w:val="21"/>
          <w:szCs w:val="21"/>
          <w:rtl/>
        </w:rPr>
        <w:t xml:space="preserve">منصة تتيح للمستخدمة البحث عن صالون أو عيادة حسب الخدمة والموقع والتاريخ، واختيار الخبيرة والوقت، وتأكيد الموعد بالدفع، ثم إدارة مواعيدها وإعادة جدولتها. وللصالونات اشتراك شهري بباقتين، إضافة إلى عمولة على الحجوزات.</w:t>
      </w:r>
    </w:p>
    <w:p>
      <w:pPr>
        <w:keepNext/>
        <w:bidi/>
        <w:spacing w:after="80" w:before="180"/>
      </w:pPr>
      <w:r>
        <w:rPr>
          <w:rFonts w:ascii="Arial" w:cs="Arial" w:eastAsia="Arial" w:hAnsi="Arial"/>
          <w:b/>
          <w:bCs/>
          <w:i w:val="false"/>
          <w:iCs w:val="false"/>
          <w:color w:val="3B1F57"/>
          <w:sz w:val="25"/>
          <w:szCs w:val="25"/>
          <w:rtl/>
        </w:rPr>
        <w:t xml:space="preserve">من الفرضيات إلى الأسئلة</w:t>
      </w:r>
    </w:p>
    <w:p>
      <w:pPr>
        <w:bidi/>
        <w:spacing w:after="80" w:before="0" w:line="300"/>
      </w:pPr>
      <w:r>
        <w:rPr>
          <w:rFonts w:ascii="Arial" w:cs="Arial" w:eastAsia="Arial" w:hAnsi="Arial"/>
          <w:b w:val="false"/>
          <w:i w:val="false"/>
          <w:iCs w:val="false"/>
          <w:color w:val="2B2B2B"/>
          <w:sz w:val="21"/>
          <w:szCs w:val="21"/>
          <w:rtl/>
        </w:rPr>
        <w:t xml:space="preserve">قسمت الدراسة إلى ستة محاور، وكل محور يختبر افتراضًا واحدًا، وكل سؤال في الاستبيان يخدم محورًا:</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5206"/>
      </w:tblGrid>
      <w:tr>
        <w:trPr>
          <w:cantSplit/>
          <w:tblHeader/>
        </w:trPr>
        <w:tc>
          <w:tcPr>
            <w:tcW w:type="dxa" w:w="2100"/>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المحور</w:t>
            </w:r>
          </w:p>
        </w:tc>
        <w:tc>
          <w:tcPr>
            <w:tcW w:type="dxa" w:w="2600"/>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الأسئلة المرتبطة به</w:t>
            </w:r>
          </w:p>
        </w:tc>
        <w:tc>
          <w:tcPr>
            <w:tcW w:type="dxa" w:w="5206"/>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ما أردت قياسه</w:t>
            </w:r>
          </w:p>
        </w:tc>
      </w:tr>
      <w:tr>
        <w:trPr>
          <w:cantSplit/>
        </w:trPr>
        <w:tc>
          <w:tcPr>
            <w:tcW w:type="dxa" w:w="21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الطلب على الحجز الإلكتروني</w:t>
            </w:r>
          </w:p>
        </w:tc>
        <w:tc>
          <w:tcPr>
            <w:tcW w:type="dxa" w:w="26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الحجز عبر الإنترنت، والراحة مع المنصات</w:t>
            </w:r>
          </w:p>
        </w:tc>
        <w:tc>
          <w:tcPr>
            <w:tcW w:type="dxa" w:w="5206"/>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لدى المستخدمة استعداد لنقل الحجز من الاتصال أو الزيارة إلى منصة؟</w:t>
            </w:r>
          </w:p>
        </w:tc>
      </w:tr>
      <w:tr>
        <w:trPr>
          <w:cantSplit/>
        </w:trPr>
        <w:tc>
          <w:tcPr>
            <w:tcW w:type="dxa" w:w="21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حجم المشكلة</w:t>
            </w:r>
          </w:p>
        </w:tc>
        <w:tc>
          <w:tcPr>
            <w:tcW w:type="dxa" w:w="26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عدم استجابة الصالونات</w:t>
            </w:r>
          </w:p>
        </w:tc>
        <w:tc>
          <w:tcPr>
            <w:tcW w:type="dxa" w:w="5206"/>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المشكلة شائعة أم تجربة فردية لعدد قليل؟</w:t>
            </w:r>
          </w:p>
        </w:tc>
      </w:tr>
      <w:tr>
        <w:trPr>
          <w:cantSplit/>
        </w:trPr>
        <w:tc>
          <w:tcPr>
            <w:tcW w:type="dxa" w:w="21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فجوة السوق</w:t>
            </w:r>
          </w:p>
        </w:tc>
        <w:tc>
          <w:tcPr>
            <w:tcW w:type="dxa" w:w="26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استخدام منصة تقارن الصالونات</w:t>
            </w:r>
          </w:p>
        </w:tc>
        <w:tc>
          <w:tcPr>
            <w:tcW w:type="dxa" w:w="5206"/>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تغطي البدائل القائمة هذه الحاجة فعلًا؟</w:t>
            </w:r>
          </w:p>
        </w:tc>
      </w:tr>
      <w:tr>
        <w:trPr>
          <w:cantSplit/>
        </w:trPr>
        <w:tc>
          <w:tcPr>
            <w:tcW w:type="dxa" w:w="21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القيمة المتوقعة</w:t>
            </w:r>
          </w:p>
        </w:tc>
        <w:tc>
          <w:tcPr>
            <w:tcW w:type="dxa" w:w="26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التنظيم، والاهتمام بالنفس</w:t>
            </w:r>
          </w:p>
        </w:tc>
        <w:tc>
          <w:tcPr>
            <w:tcW w:type="dxa" w:w="5206"/>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ما الفائدة التي تتوقعها المستخدمة من المنصة؟</w:t>
            </w:r>
          </w:p>
        </w:tc>
      </w:tr>
      <w:tr>
        <w:trPr>
          <w:cantSplit/>
        </w:trPr>
        <w:tc>
          <w:tcPr>
            <w:tcW w:type="dxa" w:w="21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أولوية الميزات</w:t>
            </w:r>
          </w:p>
        </w:tc>
        <w:tc>
          <w:tcPr>
            <w:tcW w:type="dxa" w:w="26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إعادة الجدولة، والعربون</w:t>
            </w:r>
          </w:p>
        </w:tc>
        <w:tc>
          <w:tcPr>
            <w:tcW w:type="dxa" w:w="5206"/>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أي الميزات تُقدَّم أولًا، وأين تظهر المقاومة؟</w:t>
            </w:r>
          </w:p>
        </w:tc>
      </w:tr>
      <w:tr>
        <w:trPr>
          <w:cantSplit/>
        </w:trPr>
        <w:tc>
          <w:tcPr>
            <w:tcW w:type="dxa" w:w="21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الانتشار المحتمل</w:t>
            </w:r>
          </w:p>
        </w:tc>
        <w:tc>
          <w:tcPr>
            <w:tcW w:type="dxa" w:w="26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التوصية بالمنصة للآخرين</w:t>
            </w:r>
          </w:p>
        </w:tc>
        <w:tc>
          <w:tcPr>
            <w:tcW w:type="dxa" w:w="5206"/>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ستنتشر المنصة بالتوصية الشفهية؟</w:t>
            </w:r>
          </w:p>
        </w:tc>
      </w:tr>
    </w:tbl>
    <w:p>
      <w:pPr>
        <w:keepNext/>
        <w:bidi/>
        <w:spacing w:after="80" w:before="180"/>
      </w:pPr>
      <w:r>
        <w:rPr>
          <w:rFonts w:ascii="Arial" w:cs="Arial" w:eastAsia="Arial" w:hAnsi="Arial"/>
          <w:b/>
          <w:bCs/>
          <w:i w:val="false"/>
          <w:iCs w:val="false"/>
          <w:color w:val="3B1F57"/>
          <w:sz w:val="25"/>
          <w:szCs w:val="25"/>
          <w:rtl/>
        </w:rPr>
        <w:t xml:space="preserve">أسلوب الجمع</w:t>
      </w:r>
    </w:p>
    <w:p>
      <w:pPr>
        <w:pStyle w:val="ListParagraph"/>
        <w:numPr>
          <w:ilvl w:val="0"/>
          <w:numId w:val="2"/>
        </w:numPr>
        <w:bidi/>
        <w:spacing w:after="60" w:before="0" w:line="290"/>
      </w:pPr>
      <w:r>
        <w:rPr>
          <w:rFonts w:ascii="Arial" w:cs="Arial" w:eastAsia="Arial" w:hAnsi="Arial"/>
          <w:b w:val="false"/>
          <w:i w:val="false"/>
          <w:iCs w:val="false"/>
          <w:color w:val="2B2B2B"/>
          <w:sz w:val="20"/>
          <w:szCs w:val="20"/>
          <w:rtl/>
        </w:rPr>
        <w:t xml:space="preserve">أداة الجمع: استبيان إلكتروني من 9 أسئلة مغلقة، والإجابة نعم أو ربما أو لا.</w:t>
      </w:r>
    </w:p>
    <w:p>
      <w:pPr>
        <w:pStyle w:val="ListParagraph"/>
        <w:numPr>
          <w:ilvl w:val="0"/>
          <w:numId w:val="2"/>
        </w:numPr>
        <w:bidi/>
        <w:spacing w:after="60" w:before="0" w:line="290"/>
      </w:pPr>
      <w:r>
        <w:rPr>
          <w:rFonts w:ascii="Arial" w:cs="Arial" w:eastAsia="Arial" w:hAnsi="Arial"/>
          <w:b w:val="false"/>
          <w:i w:val="false"/>
          <w:iCs w:val="false"/>
          <w:color w:val="2B2B2B"/>
          <w:sz w:val="20"/>
          <w:szCs w:val="20"/>
          <w:rtl/>
        </w:rPr>
        <w:t xml:space="preserve">الفترة والحجم: من 18 إلى 23 يناير 2025، وحصلت على 44 إجابة.</w:t>
      </w:r>
    </w:p>
    <w:p>
      <w:pPr>
        <w:pStyle w:val="ListParagraph"/>
        <w:numPr>
          <w:ilvl w:val="0"/>
          <w:numId w:val="2"/>
        </w:numPr>
        <w:bidi/>
        <w:spacing w:after="60" w:before="0" w:line="290"/>
      </w:pPr>
      <w:r>
        <w:rPr>
          <w:rFonts w:ascii="Arial" w:cs="Arial" w:eastAsia="Arial" w:hAnsi="Arial"/>
          <w:b w:val="false"/>
          <w:i w:val="false"/>
          <w:iCs w:val="false"/>
          <w:color w:val="2B2B2B"/>
          <w:sz w:val="20"/>
          <w:szCs w:val="20"/>
          <w:rtl/>
        </w:rPr>
        <w:t xml:space="preserve">جودة الملف: الملف الخام مكتمل، فلا توجد قيم مفقودة تحتاج معالجة.</w:t>
      </w:r>
    </w:p>
    <w:p>
      <w:pPr>
        <w:pStyle w:val="ListParagraph"/>
        <w:numPr>
          <w:ilvl w:val="0"/>
          <w:numId w:val="2"/>
        </w:numPr>
        <w:bidi/>
        <w:spacing w:after="60" w:before="0" w:line="290"/>
      </w:pPr>
      <w:r>
        <w:rPr>
          <w:rFonts w:ascii="Arial" w:cs="Arial" w:eastAsia="Arial" w:hAnsi="Arial"/>
          <w:b w:val="false"/>
          <w:i w:val="false"/>
          <w:iCs w:val="false"/>
          <w:color w:val="2B2B2B"/>
          <w:sz w:val="20"/>
          <w:szCs w:val="20"/>
          <w:rtl/>
        </w:rPr>
        <w:t xml:space="preserve">ميزة خيار «ربما»: يفرّق بين الرفض والتردد، وقد ساعدني في قراءة نتيجة العربون كما سيظهر في الصفحة التالية.</w:t>
      </w:r>
    </w:p>
    <w:p>
      <w:r>
        <w:br w:type="page"/>
      </w:r>
    </w:p>
    <w:p>
      <w:pPr>
        <w:keepNext/>
        <w:pBdr>
          <w:bottom w:val="single" w:color="C4A3A3" w:sz="12" w:space="4"/>
        </w:pBdr>
        <w:bidi/>
        <w:spacing w:after="140" w:before="0"/>
      </w:pPr>
      <w:r>
        <w:rPr>
          <w:rFonts w:ascii="Arial" w:cs="Arial" w:eastAsia="Arial" w:hAnsi="Arial"/>
          <w:b/>
          <w:bCs/>
          <w:i w:val="false"/>
          <w:iCs w:val="false"/>
          <w:color w:val="3B1F57"/>
          <w:sz w:val="32"/>
          <w:szCs w:val="32"/>
          <w:rtl/>
        </w:rPr>
        <w:t xml:space="preserve">تحليل النتائج واستخراج القرارات</w:t>
      </w:r>
    </w:p>
    <w:p>
      <w:pPr>
        <w:bidi/>
        <w:spacing w:after="100" w:before="0" w:line="300"/>
      </w:pPr>
      <w:r>
        <w:rPr>
          <w:rFonts w:ascii="Arial" w:cs="Arial" w:eastAsia="Arial" w:hAnsi="Arial"/>
          <w:b w:val="false"/>
          <w:i w:val="false"/>
          <w:iCs w:val="false"/>
          <w:color w:val="2B2B2B"/>
          <w:sz w:val="21"/>
          <w:szCs w:val="21"/>
          <w:rtl/>
        </w:rPr>
        <w:t xml:space="preserve">حسبت نسبة كل إجابة من 44 مشاركة، ولوّنت الخلايا بحيث يزداد اللون عمقًا كلما ارتفعت النسبة، ليظهر النمط من النظرة الأولى (العدد بين قوسين).</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6"/>
        <w:gridCol w:w="1800"/>
        <w:gridCol w:w="1800"/>
        <w:gridCol w:w="1800"/>
      </w:tblGrid>
      <w:tr>
        <w:trPr>
          <w:cantSplit/>
          <w:tblHeader/>
        </w:trPr>
        <w:tc>
          <w:tcPr>
            <w:tcW w:type="dxa" w:w="4506"/>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السؤال</w:t>
            </w:r>
          </w:p>
        </w:tc>
        <w:tc>
          <w:tcPr>
            <w:tcW w:type="dxa" w:w="1800"/>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نعم</w:t>
            </w:r>
          </w:p>
        </w:tc>
        <w:tc>
          <w:tcPr>
            <w:tcW w:type="dxa" w:w="1800"/>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ربما</w:t>
            </w:r>
          </w:p>
        </w:tc>
        <w:tc>
          <w:tcPr>
            <w:tcW w:type="dxa" w:w="1800"/>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لا</w:t>
            </w:r>
          </w:p>
        </w:tc>
      </w:tr>
      <w:tr>
        <w:trPr>
          <w:cantSplit/>
        </w:trPr>
        <w:tc>
          <w:tcPr>
            <w:tcW w:type="dxa" w:w="45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تجدين الحجز عبر الإنترنت أفضل من الزيارة شخصيًا؟</w:t>
            </w:r>
          </w:p>
        </w:tc>
        <w:tc>
          <w:tcPr>
            <w:tcW w:type="dxa" w:w="1800"/>
            <w:tcBorders>
              <w:top w:val="single" w:color="D9C7C7" w:sz="4"/>
              <w:left w:val="single" w:color="D9C7C7" w:sz="4"/>
              <w:bottom w:val="single" w:color="D9C7C7" w:sz="4"/>
              <w:right w:val="single" w:color="D9C7C7" w:sz="4"/>
            </w:tcBorders>
            <w:shd w:fill="CC9CA8"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86.4%</w:t>
            </w:r>
          </w:p>
          <w:p>
            <w:pPr>
              <w:bidi/>
              <w:spacing w:after="0" w:line="220"/>
              <w:jc w:val="center"/>
            </w:pPr>
            <w:r>
              <w:rPr>
                <w:rFonts w:ascii="Arial" w:cs="Arial" w:eastAsia="Arial" w:hAnsi="Arial"/>
                <w:b w:val="false"/>
                <w:i w:val="false"/>
                <w:iCs w:val="false"/>
                <w:color w:val="6B5560"/>
                <w:sz w:val="15"/>
                <w:szCs w:val="15"/>
                <w:rtl/>
              </w:rPr>
              <w:t xml:space="preserve">(38)</w:t>
            </w:r>
          </w:p>
        </w:tc>
        <w:tc>
          <w:tcPr>
            <w:tcW w:type="dxa" w:w="1800"/>
            <w:tcBorders>
              <w:top w:val="single" w:color="D9C7C7" w:sz="4"/>
              <w:left w:val="single" w:color="D9C7C7" w:sz="4"/>
              <w:bottom w:val="single" w:color="D9C7C7" w:sz="4"/>
              <w:right w:val="single" w:color="D9C7C7" w:sz="4"/>
            </w:tcBorders>
            <w:shd w:fill="F5E9EB"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11.4%</w:t>
            </w:r>
          </w:p>
          <w:p>
            <w:pPr>
              <w:bidi/>
              <w:spacing w:after="0" w:line="220"/>
              <w:jc w:val="center"/>
            </w:pPr>
            <w:r>
              <w:rPr>
                <w:rFonts w:ascii="Arial" w:cs="Arial" w:eastAsia="Arial" w:hAnsi="Arial"/>
                <w:b w:val="false"/>
                <w:i w:val="false"/>
                <w:iCs w:val="false"/>
                <w:color w:val="6B5560"/>
                <w:sz w:val="15"/>
                <w:szCs w:val="15"/>
                <w:rtl/>
              </w:rPr>
              <w:t xml:space="preserve">(5)</w:t>
            </w:r>
          </w:p>
        </w:tc>
        <w:tc>
          <w:tcPr>
            <w:tcW w:type="dxa" w:w="1800"/>
            <w:tcBorders>
              <w:top w:val="single" w:color="D9C7C7" w:sz="4"/>
              <w:left w:val="single" w:color="D9C7C7" w:sz="4"/>
              <w:bottom w:val="single" w:color="D9C7C7" w:sz="4"/>
              <w:right w:val="single" w:color="D9C7C7" w:sz="4"/>
            </w:tcBorders>
            <w:shd w:fill="FAF3F3"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2.3%</w:t>
            </w:r>
          </w:p>
          <w:p>
            <w:pPr>
              <w:bidi/>
              <w:spacing w:after="0" w:line="220"/>
              <w:jc w:val="center"/>
            </w:pPr>
            <w:r>
              <w:rPr>
                <w:rFonts w:ascii="Arial" w:cs="Arial" w:eastAsia="Arial" w:hAnsi="Arial"/>
                <w:b w:val="false"/>
                <w:i w:val="false"/>
                <w:iCs w:val="false"/>
                <w:color w:val="6B5560"/>
                <w:sz w:val="15"/>
                <w:szCs w:val="15"/>
                <w:rtl/>
              </w:rPr>
              <w:t xml:space="preserve">(1)</w:t>
            </w:r>
          </w:p>
        </w:tc>
      </w:tr>
      <w:tr>
        <w:trPr>
          <w:cantSplit/>
        </w:trPr>
        <w:tc>
          <w:tcPr>
            <w:tcW w:type="dxa" w:w="45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تواجهين مشكلة عدم استجابة الصالونات لرسائلك؟</w:t>
            </w:r>
          </w:p>
        </w:tc>
        <w:tc>
          <w:tcPr>
            <w:tcW w:type="dxa" w:w="1800"/>
            <w:tcBorders>
              <w:top w:val="single" w:color="D9C7C7" w:sz="4"/>
              <w:left w:val="single" w:color="D9C7C7" w:sz="4"/>
              <w:bottom w:val="single" w:color="D9C7C7" w:sz="4"/>
              <w:right w:val="single" w:color="D9C7C7" w:sz="4"/>
            </w:tcBorders>
            <w:shd w:fill="DDBDC4"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54.5%</w:t>
            </w:r>
          </w:p>
          <w:p>
            <w:pPr>
              <w:bidi/>
              <w:spacing w:after="0" w:line="220"/>
              <w:jc w:val="center"/>
            </w:pPr>
            <w:r>
              <w:rPr>
                <w:rFonts w:ascii="Arial" w:cs="Arial" w:eastAsia="Arial" w:hAnsi="Arial"/>
                <w:b w:val="false"/>
                <w:i w:val="false"/>
                <w:iCs w:val="false"/>
                <w:color w:val="6B5560"/>
                <w:sz w:val="15"/>
                <w:szCs w:val="15"/>
                <w:rtl/>
              </w:rPr>
              <w:t xml:space="preserve">(24)</w:t>
            </w:r>
          </w:p>
        </w:tc>
        <w:tc>
          <w:tcPr>
            <w:tcW w:type="dxa" w:w="1800"/>
            <w:tcBorders>
              <w:top w:val="single" w:color="D9C7C7" w:sz="4"/>
              <w:left w:val="single" w:color="D9C7C7" w:sz="4"/>
              <w:bottom w:val="single" w:color="D9C7C7" w:sz="4"/>
              <w:right w:val="single" w:color="D9C7C7" w:sz="4"/>
            </w:tcBorders>
            <w:shd w:fill="ECD9DD"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27.3%</w:t>
            </w:r>
          </w:p>
          <w:p>
            <w:pPr>
              <w:bidi/>
              <w:spacing w:after="0" w:line="220"/>
              <w:jc w:val="center"/>
            </w:pPr>
            <w:r>
              <w:rPr>
                <w:rFonts w:ascii="Arial" w:cs="Arial" w:eastAsia="Arial" w:hAnsi="Arial"/>
                <w:b w:val="false"/>
                <w:i w:val="false"/>
                <w:iCs w:val="false"/>
                <w:color w:val="6B5560"/>
                <w:sz w:val="15"/>
                <w:szCs w:val="15"/>
                <w:rtl/>
              </w:rPr>
              <w:t xml:space="preserve">(12)</w:t>
            </w:r>
          </w:p>
        </w:tc>
        <w:tc>
          <w:tcPr>
            <w:tcW w:type="dxa" w:w="1800"/>
            <w:tcBorders>
              <w:top w:val="single" w:color="D9C7C7" w:sz="4"/>
              <w:left w:val="single" w:color="D9C7C7" w:sz="4"/>
              <w:bottom w:val="single" w:color="D9C7C7" w:sz="4"/>
              <w:right w:val="single" w:color="D9C7C7" w:sz="4"/>
            </w:tcBorders>
            <w:shd w:fill="F1E2E5"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18.2%</w:t>
            </w:r>
          </w:p>
          <w:p>
            <w:pPr>
              <w:bidi/>
              <w:spacing w:after="0" w:line="220"/>
              <w:jc w:val="center"/>
            </w:pPr>
            <w:r>
              <w:rPr>
                <w:rFonts w:ascii="Arial" w:cs="Arial" w:eastAsia="Arial" w:hAnsi="Arial"/>
                <w:b w:val="false"/>
                <w:i w:val="false"/>
                <w:iCs w:val="false"/>
                <w:color w:val="6B5560"/>
                <w:sz w:val="15"/>
                <w:szCs w:val="15"/>
                <w:rtl/>
              </w:rPr>
              <w:t xml:space="preserve">(8)</w:t>
            </w:r>
          </w:p>
        </w:tc>
      </w:tr>
      <w:tr>
        <w:trPr>
          <w:cantSplit/>
        </w:trPr>
        <w:tc>
          <w:tcPr>
            <w:tcW w:type="dxa" w:w="45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تستخدمين منصة تقارن الخدمات والأسعار بين الصالونات؟</w:t>
            </w:r>
          </w:p>
        </w:tc>
        <w:tc>
          <w:tcPr>
            <w:tcW w:type="dxa" w:w="1800"/>
            <w:tcBorders>
              <w:top w:val="single" w:color="D9C7C7" w:sz="4"/>
              <w:left w:val="single" w:color="D9C7C7" w:sz="4"/>
              <w:bottom w:val="single" w:color="D9C7C7" w:sz="4"/>
              <w:right w:val="single" w:color="D9C7C7" w:sz="4"/>
            </w:tcBorders>
            <w:shd w:fill="EDDBDF"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25.0%</w:t>
            </w:r>
          </w:p>
          <w:p>
            <w:pPr>
              <w:bidi/>
              <w:spacing w:after="0" w:line="220"/>
              <w:jc w:val="center"/>
            </w:pPr>
            <w:r>
              <w:rPr>
                <w:rFonts w:ascii="Arial" w:cs="Arial" w:eastAsia="Arial" w:hAnsi="Arial"/>
                <w:b w:val="false"/>
                <w:i w:val="false"/>
                <w:iCs w:val="false"/>
                <w:color w:val="6B5560"/>
                <w:sz w:val="15"/>
                <w:szCs w:val="15"/>
                <w:rtl/>
              </w:rPr>
              <w:t xml:space="preserve">(11)</w:t>
            </w:r>
          </w:p>
        </w:tc>
        <w:tc>
          <w:tcPr>
            <w:tcW w:type="dxa" w:w="1800"/>
            <w:tcBorders>
              <w:top w:val="single" w:color="D9C7C7" w:sz="4"/>
              <w:left w:val="single" w:color="D9C7C7" w:sz="4"/>
              <w:bottom w:val="single" w:color="D9C7C7" w:sz="4"/>
              <w:right w:val="single" w:color="D9C7C7" w:sz="4"/>
            </w:tcBorders>
            <w:shd w:fill="FAF3F3"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2.3%</w:t>
            </w:r>
          </w:p>
          <w:p>
            <w:pPr>
              <w:bidi/>
              <w:spacing w:after="0" w:line="220"/>
              <w:jc w:val="center"/>
            </w:pPr>
            <w:r>
              <w:rPr>
                <w:rFonts w:ascii="Arial" w:cs="Arial" w:eastAsia="Arial" w:hAnsi="Arial"/>
                <w:b w:val="false"/>
                <w:i w:val="false"/>
                <w:iCs w:val="false"/>
                <w:color w:val="6B5560"/>
                <w:sz w:val="15"/>
                <w:szCs w:val="15"/>
                <w:rtl/>
              </w:rPr>
              <w:t xml:space="preserve">(1)</w:t>
            </w:r>
          </w:p>
        </w:tc>
        <w:tc>
          <w:tcPr>
            <w:tcW w:type="dxa" w:w="1800"/>
            <w:tcBorders>
              <w:top w:val="single" w:color="D9C7C7" w:sz="4"/>
              <w:left w:val="single" w:color="D9C7C7" w:sz="4"/>
              <w:bottom w:val="single" w:color="D9C7C7" w:sz="4"/>
              <w:right w:val="single" w:color="D9C7C7" w:sz="4"/>
            </w:tcBorders>
            <w:shd w:fill="D3AAB4"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72.7%</w:t>
            </w:r>
          </w:p>
          <w:p>
            <w:pPr>
              <w:bidi/>
              <w:spacing w:after="0" w:line="220"/>
              <w:jc w:val="center"/>
            </w:pPr>
            <w:r>
              <w:rPr>
                <w:rFonts w:ascii="Arial" w:cs="Arial" w:eastAsia="Arial" w:hAnsi="Arial"/>
                <w:b w:val="false"/>
                <w:i w:val="false"/>
                <w:iCs w:val="false"/>
                <w:color w:val="6B5560"/>
                <w:sz w:val="15"/>
                <w:szCs w:val="15"/>
                <w:rtl/>
              </w:rPr>
              <w:t xml:space="preserve">(32)</w:t>
            </w:r>
          </w:p>
        </w:tc>
      </w:tr>
      <w:tr>
        <w:trPr>
          <w:cantSplit/>
        </w:trPr>
        <w:tc>
          <w:tcPr>
            <w:tcW w:type="dxa" w:w="45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ستشعرين بمزيد من التنظيم عند استخدام ChicClick؟</w:t>
            </w:r>
          </w:p>
        </w:tc>
        <w:tc>
          <w:tcPr>
            <w:tcW w:type="dxa" w:w="1800"/>
            <w:tcBorders>
              <w:top w:val="single" w:color="D9C7C7" w:sz="4"/>
              <w:left w:val="single" w:color="D9C7C7" w:sz="4"/>
              <w:bottom w:val="single" w:color="D9C7C7" w:sz="4"/>
              <w:right w:val="single" w:color="D9C7C7" w:sz="4"/>
            </w:tcBorders>
            <w:shd w:fill="D4ACB6"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70.5%</w:t>
            </w:r>
          </w:p>
          <w:p>
            <w:pPr>
              <w:bidi/>
              <w:spacing w:after="0" w:line="220"/>
              <w:jc w:val="center"/>
            </w:pPr>
            <w:r>
              <w:rPr>
                <w:rFonts w:ascii="Arial" w:cs="Arial" w:eastAsia="Arial" w:hAnsi="Arial"/>
                <w:b w:val="false"/>
                <w:i w:val="false"/>
                <w:iCs w:val="false"/>
                <w:color w:val="6B5560"/>
                <w:sz w:val="15"/>
                <w:szCs w:val="15"/>
                <w:rtl/>
              </w:rPr>
              <w:t xml:space="preserve">(31)</w:t>
            </w:r>
          </w:p>
        </w:tc>
        <w:tc>
          <w:tcPr>
            <w:tcW w:type="dxa" w:w="1800"/>
            <w:tcBorders>
              <w:top w:val="single" w:color="D9C7C7" w:sz="4"/>
              <w:left w:val="single" w:color="D9C7C7" w:sz="4"/>
              <w:bottom w:val="single" w:color="D9C7C7" w:sz="4"/>
              <w:right w:val="single" w:color="D9C7C7" w:sz="4"/>
            </w:tcBorders>
            <w:shd w:fill="EBD7DB"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29.5%</w:t>
            </w:r>
          </w:p>
          <w:p>
            <w:pPr>
              <w:bidi/>
              <w:spacing w:after="0" w:line="220"/>
              <w:jc w:val="center"/>
            </w:pPr>
            <w:r>
              <w:rPr>
                <w:rFonts w:ascii="Arial" w:cs="Arial" w:eastAsia="Arial" w:hAnsi="Arial"/>
                <w:b w:val="false"/>
                <w:i w:val="false"/>
                <w:iCs w:val="false"/>
                <w:color w:val="6B5560"/>
                <w:sz w:val="15"/>
                <w:szCs w:val="15"/>
                <w:rtl/>
              </w:rPr>
              <w:t xml:space="preserve">(13)</w:t>
            </w:r>
          </w:p>
        </w:tc>
        <w:tc>
          <w:tcPr>
            <w:tcW w:type="dxa" w:w="1800"/>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0.0%</w:t>
            </w:r>
          </w:p>
          <w:p>
            <w:pPr>
              <w:bidi/>
              <w:spacing w:after="0" w:line="220"/>
              <w:jc w:val="center"/>
            </w:pPr>
            <w:r>
              <w:rPr>
                <w:rFonts w:ascii="Arial" w:cs="Arial" w:eastAsia="Arial" w:hAnsi="Arial"/>
                <w:b w:val="false"/>
                <w:i w:val="false"/>
                <w:iCs w:val="false"/>
                <w:color w:val="6B5560"/>
                <w:sz w:val="15"/>
                <w:szCs w:val="15"/>
                <w:rtl/>
              </w:rPr>
              <w:t xml:space="preserve">(0)</w:t>
            </w:r>
          </w:p>
        </w:tc>
      </w:tr>
      <w:tr>
        <w:trPr>
          <w:cantSplit/>
        </w:trPr>
        <w:tc>
          <w:tcPr>
            <w:tcW w:type="dxa" w:w="45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تشعرين بالراحة عند استخدام منصة إلكترونية لحجز المواعيد؟</w:t>
            </w:r>
          </w:p>
        </w:tc>
        <w:tc>
          <w:tcPr>
            <w:tcW w:type="dxa" w:w="1800"/>
            <w:tcBorders>
              <w:top w:val="single" w:color="D9C7C7" w:sz="4"/>
              <w:left w:val="single" w:color="D9C7C7" w:sz="4"/>
              <w:bottom w:val="single" w:color="D9C7C7" w:sz="4"/>
              <w:right w:val="single" w:color="D9C7C7" w:sz="4"/>
            </w:tcBorders>
            <w:shd w:fill="CA9AA6"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88.6%</w:t>
            </w:r>
          </w:p>
          <w:p>
            <w:pPr>
              <w:bidi/>
              <w:spacing w:after="0" w:line="220"/>
              <w:jc w:val="center"/>
            </w:pPr>
            <w:r>
              <w:rPr>
                <w:rFonts w:ascii="Arial" w:cs="Arial" w:eastAsia="Arial" w:hAnsi="Arial"/>
                <w:b w:val="false"/>
                <w:i w:val="false"/>
                <w:iCs w:val="false"/>
                <w:color w:val="6B5560"/>
                <w:sz w:val="15"/>
                <w:szCs w:val="15"/>
                <w:rtl/>
              </w:rPr>
              <w:t xml:space="preserve">(39)</w:t>
            </w:r>
          </w:p>
        </w:tc>
        <w:tc>
          <w:tcPr>
            <w:tcW w:type="dxa" w:w="1800"/>
            <w:tcBorders>
              <w:top w:val="single" w:color="D9C7C7" w:sz="4"/>
              <w:left w:val="single" w:color="D9C7C7" w:sz="4"/>
              <w:bottom w:val="single" w:color="D9C7C7" w:sz="4"/>
              <w:right w:val="single" w:color="D9C7C7" w:sz="4"/>
            </w:tcBorders>
            <w:shd w:fill="F5E9EB"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11.4%</w:t>
            </w:r>
          </w:p>
          <w:p>
            <w:pPr>
              <w:bidi/>
              <w:spacing w:after="0" w:line="220"/>
              <w:jc w:val="center"/>
            </w:pPr>
            <w:r>
              <w:rPr>
                <w:rFonts w:ascii="Arial" w:cs="Arial" w:eastAsia="Arial" w:hAnsi="Arial"/>
                <w:b w:val="false"/>
                <w:i w:val="false"/>
                <w:iCs w:val="false"/>
                <w:color w:val="6B5560"/>
                <w:sz w:val="15"/>
                <w:szCs w:val="15"/>
                <w:rtl/>
              </w:rPr>
              <w:t xml:space="preserve">(5)</w:t>
            </w:r>
          </w:p>
        </w:tc>
        <w:tc>
          <w:tcPr>
            <w:tcW w:type="dxa" w:w="1800"/>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0.0%</w:t>
            </w:r>
          </w:p>
          <w:p>
            <w:pPr>
              <w:bidi/>
              <w:spacing w:after="0" w:line="220"/>
              <w:jc w:val="center"/>
            </w:pPr>
            <w:r>
              <w:rPr>
                <w:rFonts w:ascii="Arial" w:cs="Arial" w:eastAsia="Arial" w:hAnsi="Arial"/>
                <w:b w:val="false"/>
                <w:i w:val="false"/>
                <w:iCs w:val="false"/>
                <w:color w:val="6B5560"/>
                <w:sz w:val="15"/>
                <w:szCs w:val="15"/>
                <w:rtl/>
              </w:rPr>
              <w:t xml:space="preserve">(0)</w:t>
            </w:r>
          </w:p>
        </w:tc>
      </w:tr>
      <w:tr>
        <w:trPr>
          <w:cantSplit/>
        </w:trPr>
        <w:tc>
          <w:tcPr>
            <w:tcW w:type="dxa" w:w="45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خيار إعادة الجدولة أو الإلغاء مهم بالنسبة لك؟</w:t>
            </w:r>
          </w:p>
        </w:tc>
        <w:tc>
          <w:tcPr>
            <w:tcW w:type="dxa" w:w="1800"/>
            <w:tcBorders>
              <w:top w:val="single" w:color="D9C7C7" w:sz="4"/>
              <w:left w:val="single" w:color="D9C7C7" w:sz="4"/>
              <w:bottom w:val="single" w:color="D9C7C7" w:sz="4"/>
              <w:right w:val="single" w:color="D9C7C7" w:sz="4"/>
            </w:tcBorders>
            <w:shd w:fill="C895A2"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93.2%</w:t>
            </w:r>
          </w:p>
          <w:p>
            <w:pPr>
              <w:bidi/>
              <w:spacing w:after="0" w:line="220"/>
              <w:jc w:val="center"/>
            </w:pPr>
            <w:r>
              <w:rPr>
                <w:rFonts w:ascii="Arial" w:cs="Arial" w:eastAsia="Arial" w:hAnsi="Arial"/>
                <w:b w:val="false"/>
                <w:i w:val="false"/>
                <w:iCs w:val="false"/>
                <w:color w:val="6B5560"/>
                <w:sz w:val="15"/>
                <w:szCs w:val="15"/>
                <w:rtl/>
              </w:rPr>
              <w:t xml:space="preserve">(41)</w:t>
            </w:r>
          </w:p>
        </w:tc>
        <w:tc>
          <w:tcPr>
            <w:tcW w:type="dxa" w:w="1800"/>
            <w:tcBorders>
              <w:top w:val="single" w:color="D9C7C7" w:sz="4"/>
              <w:left w:val="single" w:color="D9C7C7" w:sz="4"/>
              <w:bottom w:val="single" w:color="D9C7C7" w:sz="4"/>
              <w:right w:val="single" w:color="D9C7C7" w:sz="4"/>
            </w:tcBorders>
            <w:shd w:fill="F9F0F1"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4.5%</w:t>
            </w:r>
          </w:p>
          <w:p>
            <w:pPr>
              <w:bidi/>
              <w:spacing w:after="0" w:line="220"/>
              <w:jc w:val="center"/>
            </w:pPr>
            <w:r>
              <w:rPr>
                <w:rFonts w:ascii="Arial" w:cs="Arial" w:eastAsia="Arial" w:hAnsi="Arial"/>
                <w:b w:val="false"/>
                <w:i w:val="false"/>
                <w:iCs w:val="false"/>
                <w:color w:val="6B5560"/>
                <w:sz w:val="15"/>
                <w:szCs w:val="15"/>
                <w:rtl/>
              </w:rPr>
              <w:t xml:space="preserve">(2)</w:t>
            </w:r>
          </w:p>
        </w:tc>
        <w:tc>
          <w:tcPr>
            <w:tcW w:type="dxa" w:w="1800"/>
            <w:tcBorders>
              <w:top w:val="single" w:color="D9C7C7" w:sz="4"/>
              <w:left w:val="single" w:color="D9C7C7" w:sz="4"/>
              <w:bottom w:val="single" w:color="D9C7C7" w:sz="4"/>
              <w:right w:val="single" w:color="D9C7C7" w:sz="4"/>
            </w:tcBorders>
            <w:shd w:fill="FAF3F3"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2.3%</w:t>
            </w:r>
          </w:p>
          <w:p>
            <w:pPr>
              <w:bidi/>
              <w:spacing w:after="0" w:line="220"/>
              <w:jc w:val="center"/>
            </w:pPr>
            <w:r>
              <w:rPr>
                <w:rFonts w:ascii="Arial" w:cs="Arial" w:eastAsia="Arial" w:hAnsi="Arial"/>
                <w:b w:val="false"/>
                <w:i w:val="false"/>
                <w:iCs w:val="false"/>
                <w:color w:val="6B5560"/>
                <w:sz w:val="15"/>
                <w:szCs w:val="15"/>
                <w:rtl/>
              </w:rPr>
              <w:t xml:space="preserve">(1)</w:t>
            </w:r>
          </w:p>
        </w:tc>
      </w:tr>
      <w:tr>
        <w:trPr>
          <w:cantSplit/>
        </w:trPr>
        <w:tc>
          <w:tcPr>
            <w:tcW w:type="dxa" w:w="45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تفضلين دفع العربون عبر الإنترنت لتأكيد الموعد؟</w:t>
            </w:r>
          </w:p>
        </w:tc>
        <w:tc>
          <w:tcPr>
            <w:tcW w:type="dxa" w:w="1800"/>
            <w:tcBorders>
              <w:top w:val="single" w:color="D9C7C7" w:sz="4"/>
              <w:left w:val="single" w:color="D9C7C7" w:sz="4"/>
              <w:bottom w:val="single" w:color="D9C7C7" w:sz="4"/>
              <w:right w:val="single" w:color="D9C7C7" w:sz="4"/>
            </w:tcBorders>
            <w:shd w:fill="E6CDD3"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38.6%</w:t>
            </w:r>
          </w:p>
          <w:p>
            <w:pPr>
              <w:bidi/>
              <w:spacing w:after="0" w:line="220"/>
              <w:jc w:val="center"/>
            </w:pPr>
            <w:r>
              <w:rPr>
                <w:rFonts w:ascii="Arial" w:cs="Arial" w:eastAsia="Arial" w:hAnsi="Arial"/>
                <w:b w:val="false"/>
                <w:i w:val="false"/>
                <w:iCs w:val="false"/>
                <w:color w:val="6B5560"/>
                <w:sz w:val="15"/>
                <w:szCs w:val="15"/>
                <w:rtl/>
              </w:rPr>
              <w:t xml:space="preserve">(17)</w:t>
            </w:r>
          </w:p>
        </w:tc>
        <w:tc>
          <w:tcPr>
            <w:tcW w:type="dxa" w:w="1800"/>
            <w:tcBorders>
              <w:top w:val="single" w:color="D9C7C7" w:sz="4"/>
              <w:left w:val="single" w:color="D9C7C7" w:sz="4"/>
              <w:bottom w:val="single" w:color="D9C7C7" w:sz="4"/>
              <w:right w:val="single" w:color="D9C7C7" w:sz="4"/>
            </w:tcBorders>
            <w:shd w:fill="EBD7DB"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29.5%</w:t>
            </w:r>
          </w:p>
          <w:p>
            <w:pPr>
              <w:bidi/>
              <w:spacing w:after="0" w:line="220"/>
              <w:jc w:val="center"/>
            </w:pPr>
            <w:r>
              <w:rPr>
                <w:rFonts w:ascii="Arial" w:cs="Arial" w:eastAsia="Arial" w:hAnsi="Arial"/>
                <w:b w:val="false"/>
                <w:i w:val="false"/>
                <w:iCs w:val="false"/>
                <w:color w:val="6B5560"/>
                <w:sz w:val="15"/>
                <w:szCs w:val="15"/>
                <w:rtl/>
              </w:rPr>
              <w:t xml:space="preserve">(13)</w:t>
            </w:r>
          </w:p>
        </w:tc>
        <w:tc>
          <w:tcPr>
            <w:tcW w:type="dxa" w:w="1800"/>
            <w:tcBorders>
              <w:top w:val="single" w:color="D9C7C7" w:sz="4"/>
              <w:left w:val="single" w:color="D9C7C7" w:sz="4"/>
              <w:bottom w:val="single" w:color="D9C7C7" w:sz="4"/>
              <w:right w:val="single" w:color="D9C7C7" w:sz="4"/>
            </w:tcBorders>
            <w:shd w:fill="EAD4D9"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31.8%</w:t>
            </w:r>
          </w:p>
          <w:p>
            <w:pPr>
              <w:bidi/>
              <w:spacing w:after="0" w:line="220"/>
              <w:jc w:val="center"/>
            </w:pPr>
            <w:r>
              <w:rPr>
                <w:rFonts w:ascii="Arial" w:cs="Arial" w:eastAsia="Arial" w:hAnsi="Arial"/>
                <w:b w:val="false"/>
                <w:i w:val="false"/>
                <w:iCs w:val="false"/>
                <w:color w:val="6B5560"/>
                <w:sz w:val="15"/>
                <w:szCs w:val="15"/>
                <w:rtl/>
              </w:rPr>
              <w:t xml:space="preserve">(14)</w:t>
            </w:r>
          </w:p>
        </w:tc>
      </w:tr>
      <w:tr>
        <w:trPr>
          <w:cantSplit/>
        </w:trPr>
        <w:tc>
          <w:tcPr>
            <w:tcW w:type="dxa" w:w="45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تتوقعين أن تسهّل المنصة عليك الاهتمام بنفسك؟</w:t>
            </w:r>
          </w:p>
        </w:tc>
        <w:tc>
          <w:tcPr>
            <w:tcW w:type="dxa" w:w="1800"/>
            <w:tcBorders>
              <w:top w:val="single" w:color="D9C7C7" w:sz="4"/>
              <w:left w:val="single" w:color="D9C7C7" w:sz="4"/>
              <w:bottom w:val="single" w:color="D9C7C7" w:sz="4"/>
              <w:right w:val="single" w:color="D9C7C7" w:sz="4"/>
            </w:tcBorders>
            <w:shd w:fill="D3AAB4"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72.7%</w:t>
            </w:r>
          </w:p>
          <w:p>
            <w:pPr>
              <w:bidi/>
              <w:spacing w:after="0" w:line="220"/>
              <w:jc w:val="center"/>
            </w:pPr>
            <w:r>
              <w:rPr>
                <w:rFonts w:ascii="Arial" w:cs="Arial" w:eastAsia="Arial" w:hAnsi="Arial"/>
                <w:b w:val="false"/>
                <w:i w:val="false"/>
                <w:iCs w:val="false"/>
                <w:color w:val="6B5560"/>
                <w:sz w:val="15"/>
                <w:szCs w:val="15"/>
                <w:rtl/>
              </w:rPr>
              <w:t xml:space="preserve">(32)</w:t>
            </w:r>
          </w:p>
        </w:tc>
        <w:tc>
          <w:tcPr>
            <w:tcW w:type="dxa" w:w="1800"/>
            <w:tcBorders>
              <w:top w:val="single" w:color="D9C7C7" w:sz="4"/>
              <w:left w:val="single" w:color="D9C7C7" w:sz="4"/>
              <w:bottom w:val="single" w:color="D9C7C7" w:sz="4"/>
              <w:right w:val="single" w:color="D9C7C7" w:sz="4"/>
            </w:tcBorders>
            <w:shd w:fill="EFDEE1"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22.7%</w:t>
            </w:r>
          </w:p>
          <w:p>
            <w:pPr>
              <w:bidi/>
              <w:spacing w:after="0" w:line="220"/>
              <w:jc w:val="center"/>
            </w:pPr>
            <w:r>
              <w:rPr>
                <w:rFonts w:ascii="Arial" w:cs="Arial" w:eastAsia="Arial" w:hAnsi="Arial"/>
                <w:b w:val="false"/>
                <w:i w:val="false"/>
                <w:iCs w:val="false"/>
                <w:color w:val="6B5560"/>
                <w:sz w:val="15"/>
                <w:szCs w:val="15"/>
                <w:rtl/>
              </w:rPr>
              <w:t xml:space="preserve">(10)</w:t>
            </w:r>
          </w:p>
        </w:tc>
        <w:tc>
          <w:tcPr>
            <w:tcW w:type="dxa" w:w="1800"/>
            <w:tcBorders>
              <w:top w:val="single" w:color="D9C7C7" w:sz="4"/>
              <w:left w:val="single" w:color="D9C7C7" w:sz="4"/>
              <w:bottom w:val="single" w:color="D9C7C7" w:sz="4"/>
              <w:right w:val="single" w:color="D9C7C7" w:sz="4"/>
            </w:tcBorders>
            <w:shd w:fill="F9F0F1"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4.5%</w:t>
            </w:r>
          </w:p>
          <w:p>
            <w:pPr>
              <w:bidi/>
              <w:spacing w:after="0" w:line="220"/>
              <w:jc w:val="center"/>
            </w:pPr>
            <w:r>
              <w:rPr>
                <w:rFonts w:ascii="Arial" w:cs="Arial" w:eastAsia="Arial" w:hAnsi="Arial"/>
                <w:b w:val="false"/>
                <w:i w:val="false"/>
                <w:iCs w:val="false"/>
                <w:color w:val="6B5560"/>
                <w:sz w:val="15"/>
                <w:szCs w:val="15"/>
                <w:rtl/>
              </w:rPr>
              <w:t xml:space="preserve">(2)</w:t>
            </w:r>
          </w:p>
        </w:tc>
      </w:tr>
      <w:tr>
        <w:trPr>
          <w:cantSplit/>
        </w:trPr>
        <w:tc>
          <w:tcPr>
            <w:tcW w:type="dxa" w:w="45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هل ستوصين الآخرين بالمنصة عند إطلاقها؟</w:t>
            </w:r>
          </w:p>
        </w:tc>
        <w:tc>
          <w:tcPr>
            <w:tcW w:type="dxa" w:w="1800"/>
            <w:tcBorders>
              <w:top w:val="single" w:color="D9C7C7" w:sz="4"/>
              <w:left w:val="single" w:color="D9C7C7" w:sz="4"/>
              <w:bottom w:val="single" w:color="D9C7C7" w:sz="4"/>
              <w:right w:val="single" w:color="D9C7C7" w:sz="4"/>
            </w:tcBorders>
            <w:shd w:fill="D3AAB4"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72.7%</w:t>
            </w:r>
          </w:p>
          <w:p>
            <w:pPr>
              <w:bidi/>
              <w:spacing w:after="0" w:line="220"/>
              <w:jc w:val="center"/>
            </w:pPr>
            <w:r>
              <w:rPr>
                <w:rFonts w:ascii="Arial" w:cs="Arial" w:eastAsia="Arial" w:hAnsi="Arial"/>
                <w:b w:val="false"/>
                <w:i w:val="false"/>
                <w:iCs w:val="false"/>
                <w:color w:val="6B5560"/>
                <w:sz w:val="15"/>
                <w:szCs w:val="15"/>
                <w:rtl/>
              </w:rPr>
              <w:t xml:space="preserve">(32)</w:t>
            </w:r>
          </w:p>
        </w:tc>
        <w:tc>
          <w:tcPr>
            <w:tcW w:type="dxa" w:w="1800"/>
            <w:tcBorders>
              <w:top w:val="single" w:color="D9C7C7" w:sz="4"/>
              <w:left w:val="single" w:color="D9C7C7" w:sz="4"/>
              <w:bottom w:val="single" w:color="D9C7C7" w:sz="4"/>
              <w:right w:val="single" w:color="D9C7C7" w:sz="4"/>
            </w:tcBorders>
            <w:shd w:fill="ECD9DD"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27.3%</w:t>
            </w:r>
          </w:p>
          <w:p>
            <w:pPr>
              <w:bidi/>
              <w:spacing w:after="0" w:line="220"/>
              <w:jc w:val="center"/>
            </w:pPr>
            <w:r>
              <w:rPr>
                <w:rFonts w:ascii="Arial" w:cs="Arial" w:eastAsia="Arial" w:hAnsi="Arial"/>
                <w:b w:val="false"/>
                <w:i w:val="false"/>
                <w:iCs w:val="false"/>
                <w:color w:val="6B5560"/>
                <w:sz w:val="15"/>
                <w:szCs w:val="15"/>
                <w:rtl/>
              </w:rPr>
              <w:t xml:space="preserve">(12)</w:t>
            </w:r>
          </w:p>
        </w:tc>
        <w:tc>
          <w:tcPr>
            <w:tcW w:type="dxa" w:w="1800"/>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line="250"/>
              <w:jc w:val="center"/>
            </w:pPr>
            <w:r>
              <w:rPr>
                <w:rFonts w:ascii="Arial" w:cs="Arial" w:eastAsia="Arial" w:hAnsi="Arial"/>
                <w:b/>
                <w:bCs/>
                <w:i w:val="false"/>
                <w:iCs w:val="false"/>
                <w:color w:val="2B2B2B"/>
                <w:sz w:val="19"/>
                <w:szCs w:val="19"/>
                <w:rtl/>
              </w:rPr>
              <w:t xml:space="preserve">0.0%</w:t>
            </w:r>
          </w:p>
          <w:p>
            <w:pPr>
              <w:bidi/>
              <w:spacing w:after="0" w:line="220"/>
              <w:jc w:val="center"/>
            </w:pPr>
            <w:r>
              <w:rPr>
                <w:rFonts w:ascii="Arial" w:cs="Arial" w:eastAsia="Arial" w:hAnsi="Arial"/>
                <w:b w:val="false"/>
                <w:i w:val="false"/>
                <w:iCs w:val="false"/>
                <w:color w:val="6B5560"/>
                <w:sz w:val="15"/>
                <w:szCs w:val="15"/>
                <w:rtl/>
              </w:rPr>
              <w:t xml:space="preserve">(0)</w:t>
            </w:r>
          </w:p>
        </w:tc>
      </w:tr>
    </w:tbl>
    <w:p>
      <w:pPr>
        <w:keepNext/>
        <w:bidi/>
        <w:spacing w:after="80" w:before="180"/>
      </w:pPr>
      <w:r>
        <w:rPr>
          <w:rFonts w:ascii="Arial" w:cs="Arial" w:eastAsia="Arial" w:hAnsi="Arial"/>
          <w:b/>
          <w:bCs/>
          <w:i w:val="false"/>
          <w:iCs w:val="false"/>
          <w:color w:val="3B1F57"/>
          <w:sz w:val="25"/>
          <w:szCs w:val="25"/>
          <w:rtl/>
        </w:rPr>
        <w:t xml:space="preserve">ما الذي تقوله البيانات وما القرار المبني عليها؟</w:t>
      </w:r>
    </w:p>
    <w:p>
      <w:pPr>
        <w:pStyle w:val="ListParagraph"/>
        <w:numPr>
          <w:ilvl w:val="0"/>
          <w:numId w:val="2"/>
        </w:numPr>
        <w:bidi/>
        <w:spacing w:after="60" w:before="0" w:line="290"/>
      </w:pPr>
      <w:r>
        <w:rPr>
          <w:rFonts w:ascii="Arial" w:cs="Arial" w:eastAsia="Arial" w:hAnsi="Arial"/>
          <w:b/>
          <w:bCs/>
          <w:i w:val="false"/>
          <w:iCs w:val="false"/>
          <w:color w:val="3B1F57"/>
          <w:sz w:val="20"/>
          <w:szCs w:val="20"/>
          <w:rtl/>
        </w:rPr>
        <w:t xml:space="preserve">الطلب قوي. </w:t>
      </w:r>
      <w:r>
        <w:rPr>
          <w:rFonts w:ascii="Arial" w:cs="Arial" w:eastAsia="Arial" w:hAnsi="Arial"/>
          <w:b w:val="false"/>
          <w:i w:val="false"/>
          <w:iCs w:val="false"/>
          <w:color w:val="2B2B2B"/>
          <w:sz w:val="20"/>
          <w:szCs w:val="20"/>
          <w:rtl/>
        </w:rPr>
        <w:t xml:space="preserve">86.4% تفضل الحجز الإلكتروني، و88.6% يشعرن بالراحة معه، ولا توجد أي إجابة «لا» في سؤال الراحة. القرار: الفكرة تستحق المتابعة.</w:t>
      </w:r>
    </w:p>
    <w:p>
      <w:pPr>
        <w:pStyle w:val="ListParagraph"/>
        <w:numPr>
          <w:ilvl w:val="0"/>
          <w:numId w:val="2"/>
        </w:numPr>
        <w:bidi/>
        <w:spacing w:after="60" w:before="0" w:line="290"/>
      </w:pPr>
      <w:r>
        <w:rPr>
          <w:rFonts w:ascii="Arial" w:cs="Arial" w:eastAsia="Arial" w:hAnsi="Arial"/>
          <w:b/>
          <w:bCs/>
          <w:i w:val="false"/>
          <w:iCs w:val="false"/>
          <w:color w:val="3B1F57"/>
          <w:sz w:val="20"/>
          <w:szCs w:val="20"/>
          <w:rtl/>
        </w:rPr>
        <w:t xml:space="preserve">إعادة الجدولة أعلى أولوية. </w:t>
      </w:r>
      <w:r>
        <w:rPr>
          <w:rFonts w:ascii="Arial" w:cs="Arial" w:eastAsia="Arial" w:hAnsi="Arial"/>
          <w:b w:val="false"/>
          <w:i w:val="false"/>
          <w:iCs w:val="false"/>
          <w:color w:val="2B2B2B"/>
          <w:sz w:val="20"/>
          <w:szCs w:val="20"/>
          <w:rtl/>
        </w:rPr>
        <w:t xml:space="preserve">93.2% يرينها مهمة، وهي أعلى نتيجة في الاستبيان. القرار: تُعامل كميزة أساسية وليست إضافة.</w:t>
      </w:r>
    </w:p>
    <w:p>
      <w:pPr>
        <w:pStyle w:val="ListParagraph"/>
        <w:numPr>
          <w:ilvl w:val="0"/>
          <w:numId w:val="2"/>
        </w:numPr>
        <w:bidi/>
        <w:spacing w:after="60" w:before="0" w:line="290"/>
      </w:pPr>
      <w:r>
        <w:rPr>
          <w:rFonts w:ascii="Arial" w:cs="Arial" w:eastAsia="Arial" w:hAnsi="Arial"/>
          <w:b/>
          <w:bCs/>
          <w:i w:val="false"/>
          <w:iCs w:val="false"/>
          <w:color w:val="3B1F57"/>
          <w:sz w:val="20"/>
          <w:szCs w:val="20"/>
          <w:rtl/>
        </w:rPr>
        <w:t xml:space="preserve">المشكلة شائعة. </w:t>
      </w:r>
      <w:r>
        <w:rPr>
          <w:rFonts w:ascii="Arial" w:cs="Arial" w:eastAsia="Arial" w:hAnsi="Arial"/>
          <w:b w:val="false"/>
          <w:i w:val="false"/>
          <w:iCs w:val="false"/>
          <w:color w:val="2B2B2B"/>
          <w:sz w:val="20"/>
          <w:szCs w:val="20"/>
          <w:rtl/>
        </w:rPr>
        <w:t xml:space="preserve">54.5% يواجهن عدم استجابة الصالونات، وترتفع النسبة إلى 81.8% بدمج إجابات «ربما». القرار: التأكيد الفوري للموعد هو القيمة الأوضح.</w:t>
      </w:r>
    </w:p>
    <w:p>
      <w:pPr>
        <w:pStyle w:val="ListParagraph"/>
        <w:numPr>
          <w:ilvl w:val="0"/>
          <w:numId w:val="2"/>
        </w:numPr>
        <w:bidi/>
        <w:spacing w:after="60" w:before="0" w:line="290"/>
      </w:pPr>
      <w:r>
        <w:rPr>
          <w:rFonts w:ascii="Arial" w:cs="Arial" w:eastAsia="Arial" w:hAnsi="Arial"/>
          <w:b/>
          <w:bCs/>
          <w:i w:val="false"/>
          <w:iCs w:val="false"/>
          <w:color w:val="3B1F57"/>
          <w:sz w:val="20"/>
          <w:szCs w:val="20"/>
          <w:rtl/>
        </w:rPr>
        <w:t xml:space="preserve">هناك فجوة في السوق. </w:t>
      </w:r>
      <w:r>
        <w:rPr>
          <w:rFonts w:ascii="Arial" w:cs="Arial" w:eastAsia="Arial" w:hAnsi="Arial"/>
          <w:b w:val="false"/>
          <w:i w:val="false"/>
          <w:iCs w:val="false"/>
          <w:color w:val="2B2B2B"/>
          <w:sz w:val="20"/>
          <w:szCs w:val="20"/>
          <w:rtl/>
        </w:rPr>
        <w:t xml:space="preserve">نحو 72.7% من المشاركات لا يستخدمن أي منصة مقارنة. القرار: التركيز على المقارنة والبحث ضمن العرض.</w:t>
      </w:r>
    </w:p>
    <w:p>
      <w:pPr>
        <w:pStyle w:val="ListParagraph"/>
        <w:numPr>
          <w:ilvl w:val="0"/>
          <w:numId w:val="2"/>
        </w:numPr>
        <w:bidi/>
        <w:spacing w:after="60" w:before="0" w:line="290"/>
      </w:pPr>
      <w:r>
        <w:rPr>
          <w:rFonts w:ascii="Arial" w:cs="Arial" w:eastAsia="Arial" w:hAnsi="Arial"/>
          <w:b/>
          <w:bCs/>
          <w:i w:val="false"/>
          <w:iCs w:val="false"/>
          <w:color w:val="3B1F57"/>
          <w:sz w:val="20"/>
          <w:szCs w:val="20"/>
          <w:rtl/>
        </w:rPr>
        <w:t xml:space="preserve">العربون يحتاج مرونة. </w:t>
      </w:r>
      <w:r>
        <w:rPr>
          <w:rFonts w:ascii="Arial" w:cs="Arial" w:eastAsia="Arial" w:hAnsi="Arial"/>
          <w:b w:val="false"/>
          <w:i w:val="false"/>
          <w:iCs w:val="false"/>
          <w:color w:val="2B2B2B"/>
          <w:sz w:val="20"/>
          <w:szCs w:val="20"/>
          <w:rtl/>
        </w:rPr>
        <w:t xml:space="preserve">17 مشاركة فقط (38.6%) تفضل دفعه إلكترونيًا، والبقية بين الرفض والتردد. القرار: جعله اختياريًا أو بقرار من الصالون، وليس شرطًا عامًا.</w:t>
      </w:r>
    </w:p>
    <w:p>
      <w:pPr>
        <w:pStyle w:val="ListParagraph"/>
        <w:numPr>
          <w:ilvl w:val="0"/>
          <w:numId w:val="2"/>
        </w:numPr>
        <w:bidi/>
        <w:spacing w:after="60" w:before="0" w:line="290"/>
      </w:pPr>
      <w:r>
        <w:rPr>
          <w:rFonts w:ascii="Arial" w:cs="Arial" w:eastAsia="Arial" w:hAnsi="Arial"/>
          <w:b/>
          <w:bCs/>
          <w:i w:val="false"/>
          <w:iCs w:val="false"/>
          <w:color w:val="3B1F57"/>
          <w:sz w:val="20"/>
          <w:szCs w:val="20"/>
          <w:rtl/>
        </w:rPr>
        <w:t xml:space="preserve">الاستعداد للتوصية جيد. </w:t>
      </w:r>
      <w:r>
        <w:rPr>
          <w:rFonts w:ascii="Arial" w:cs="Arial" w:eastAsia="Arial" w:hAnsi="Arial"/>
          <w:b w:val="false"/>
          <w:i w:val="false"/>
          <w:iCs w:val="false"/>
          <w:color w:val="2B2B2B"/>
          <w:sz w:val="20"/>
          <w:szCs w:val="20"/>
          <w:rtl/>
        </w:rPr>
        <w:t xml:space="preserve">72.7% سيوصين بالمنصة، ولم تقل أي مشاركة «لا». هذا مؤشر على إمكانية الانتشار بالتوصية.</w:t>
      </w:r>
    </w:p>
    <w:p>
      <w:r>
        <w:br w:type="page"/>
      </w:r>
    </w:p>
    <w:p>
      <w:pPr>
        <w:keepNext/>
        <w:pBdr>
          <w:bottom w:val="single" w:color="C4A3A3" w:sz="12" w:space="4"/>
        </w:pBdr>
        <w:bidi/>
        <w:spacing w:after="140" w:before="0"/>
      </w:pPr>
      <w:r>
        <w:rPr>
          <w:rFonts w:ascii="Arial" w:cs="Arial" w:eastAsia="Arial" w:hAnsi="Arial"/>
          <w:b/>
          <w:bCs/>
          <w:i w:val="false"/>
          <w:iCs w:val="false"/>
          <w:color w:val="3B1F57"/>
          <w:sz w:val="32"/>
          <w:szCs w:val="32"/>
          <w:rtl/>
        </w:rPr>
        <w:t xml:space="preserve">تحليل السوق والمنافسين والنموذج المالي</w:t>
      </w:r>
    </w:p>
    <w:p>
      <w:pPr>
        <w:keepNext/>
        <w:bidi/>
        <w:spacing w:after="80" w:before="180"/>
      </w:pPr>
      <w:r>
        <w:rPr>
          <w:rFonts w:ascii="Arial" w:cs="Arial" w:eastAsia="Arial" w:hAnsi="Arial"/>
          <w:b/>
          <w:bCs/>
          <w:i w:val="false"/>
          <w:iCs w:val="false"/>
          <w:color w:val="3B1F57"/>
          <w:sz w:val="25"/>
          <w:szCs w:val="25"/>
          <w:rtl/>
        </w:rPr>
        <w:t xml:space="preserve">حجم السوق والنموذج المالي للسنة الأولى</w:t>
      </w:r>
    </w:p>
    <w:p>
      <w:pPr>
        <w:bidi/>
        <w:spacing w:after="80" w:before="0" w:line="300"/>
      </w:pPr>
      <w:r>
        <w:rPr>
          <w:rFonts w:ascii="Arial" w:cs="Arial" w:eastAsia="Arial" w:hAnsi="Arial"/>
          <w:b w:val="false"/>
          <w:i w:val="false"/>
          <w:iCs w:val="false"/>
          <w:color w:val="2B2B2B"/>
          <w:sz w:val="21"/>
          <w:szCs w:val="21"/>
          <w:rtl/>
        </w:rPr>
        <w:t xml:space="preserve">قدّرت السوق المستهدف بأكثر من 25 ألف صالون مرخص في السعودية، وافترضت أن 500 منها ستشترك، أي 2% فقط من السوق، وهي نسبة متحفظة. ثم بنيت عليها نموذج الإيرادات:</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2853"/>
        <w:gridCol w:w="2853"/>
      </w:tblGrid>
      <w:tr>
        <w:trPr>
          <w:cantSplit/>
          <w:tblHeader/>
        </w:trPr>
        <w:tc>
          <w:tcPr>
            <w:tcW w:type="dxa" w:w="4200"/>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البند</w:t>
            </w:r>
          </w:p>
        </w:tc>
        <w:tc>
          <w:tcPr>
            <w:tcW w:type="dxa" w:w="2853"/>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القيمة</w:t>
            </w:r>
          </w:p>
        </w:tc>
        <w:tc>
          <w:tcPr>
            <w:tcW w:type="dxa" w:w="2853"/>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طريقة الحساب</w:t>
            </w:r>
          </w:p>
        </w:tc>
      </w:tr>
      <w:tr>
        <w:trPr>
          <w:cantSplit/>
        </w:trPr>
        <w:tc>
          <w:tcPr>
            <w:tcW w:type="dxa" w:w="42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عدد الصالونات المشتركة (فرضية)</w:t>
            </w:r>
          </w:p>
        </w:tc>
        <w:tc>
          <w:tcPr>
            <w:tcW w:type="dxa" w:w="2853"/>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500 صالون</w:t>
            </w:r>
          </w:p>
        </w:tc>
        <w:tc>
          <w:tcPr>
            <w:tcW w:type="dxa" w:w="2853"/>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2% من 25,000 صالون مرخص</w:t>
            </w:r>
          </w:p>
        </w:tc>
      </w:tr>
      <w:tr>
        <w:trPr>
          <w:cantSplit/>
        </w:trPr>
        <w:tc>
          <w:tcPr>
            <w:tcW w:type="dxa" w:w="42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إيرادات الاشتراكات شهريًا</w:t>
            </w:r>
          </w:p>
        </w:tc>
        <w:tc>
          <w:tcPr>
            <w:tcW w:type="dxa" w:w="2853"/>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74,500 ريال</w:t>
            </w:r>
          </w:p>
        </w:tc>
        <w:tc>
          <w:tcPr>
            <w:tcW w:type="dxa" w:w="2853"/>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500 × 149</w:t>
            </w:r>
          </w:p>
        </w:tc>
      </w:tr>
      <w:tr>
        <w:trPr>
          <w:cantSplit/>
        </w:trPr>
        <w:tc>
          <w:tcPr>
            <w:tcW w:type="dxa" w:w="42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إيرادات الحجوزات شهريًا</w:t>
            </w:r>
          </w:p>
        </w:tc>
        <w:tc>
          <w:tcPr>
            <w:tcW w:type="dxa" w:w="2853"/>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5,000 ريال</w:t>
            </w:r>
          </w:p>
        </w:tc>
        <w:tc>
          <w:tcPr>
            <w:tcW w:type="dxa" w:w="2853"/>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10,000 حجز بمتوسط 0.5 ريال</w:t>
            </w:r>
          </w:p>
        </w:tc>
      </w:tr>
      <w:tr>
        <w:trPr>
          <w:cantSplit/>
        </w:trPr>
        <w:tc>
          <w:tcPr>
            <w:tcW w:type="dxa" w:w="42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إجمالي الإيرادات شهريًا</w:t>
            </w:r>
          </w:p>
        </w:tc>
        <w:tc>
          <w:tcPr>
            <w:tcW w:type="dxa" w:w="2853"/>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79,500 ريال</w:t>
            </w:r>
          </w:p>
        </w:tc>
        <w:tc>
          <w:tcPr>
            <w:tcW w:type="dxa" w:w="2853"/>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74,500 + 5,000</w:t>
            </w:r>
          </w:p>
        </w:tc>
      </w:tr>
      <w:tr>
        <w:trPr>
          <w:cantSplit/>
        </w:trPr>
        <w:tc>
          <w:tcPr>
            <w:tcW w:type="dxa" w:w="42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الإيرادات السنوية</w:t>
            </w:r>
          </w:p>
        </w:tc>
        <w:tc>
          <w:tcPr>
            <w:tcW w:type="dxa" w:w="2853"/>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954,000 ريال</w:t>
            </w:r>
          </w:p>
        </w:tc>
        <w:tc>
          <w:tcPr>
            <w:tcW w:type="dxa" w:w="2853"/>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79,500 × 12</w:t>
            </w:r>
          </w:p>
        </w:tc>
      </w:tr>
    </w:tbl>
    <w:p>
      <w:pPr>
        <w:bidi/>
        <w:spacing w:after="40" w:before="80" w:line="300"/>
      </w:pPr>
      <w:r>
        <w:rPr>
          <w:rFonts w:ascii="Arial" w:cs="Arial" w:eastAsia="Arial" w:hAnsi="Arial"/>
          <w:b w:val="false"/>
          <w:i w:val="false"/>
          <w:iCs w:val="false"/>
          <w:color w:val="2B2B2B"/>
          <w:sz w:val="19"/>
          <w:szCs w:val="19"/>
          <w:rtl/>
        </w:rPr>
        <w:t xml:space="preserve">تقدّر الاشتراكات نحو 93.7% من إجمالي الإيرادات الشهرية، ما يعني أن نجاح النموذج يعتمد أساسًا على عدد الصالونات المشتركة أكثر من اعتماده على عمولة الحجوزات.</w:t>
      </w:r>
    </w:p>
    <w:p>
      <w:pPr>
        <w:keepNext/>
        <w:bidi/>
        <w:spacing w:after="80" w:before="180"/>
      </w:pPr>
      <w:r>
        <w:rPr>
          <w:rFonts w:ascii="Arial" w:cs="Arial" w:eastAsia="Arial" w:hAnsi="Arial"/>
          <w:b/>
          <w:bCs/>
          <w:i w:val="false"/>
          <w:iCs w:val="false"/>
          <w:color w:val="3B1F57"/>
          <w:sz w:val="25"/>
          <w:szCs w:val="25"/>
          <w:rtl/>
        </w:rPr>
        <w:t xml:space="preserve">التكاليف ونقطة التعادل</w:t>
      </w:r>
    </w:p>
    <w:p>
      <w:pPr>
        <w:bidi/>
        <w:spacing w:after="100" w:before="0" w:line="300"/>
      </w:pPr>
      <w:r>
        <w:rPr>
          <w:rFonts w:ascii="Arial" w:cs="Arial" w:eastAsia="Arial" w:hAnsi="Arial"/>
          <w:b w:val="false"/>
          <w:i w:val="false"/>
          <w:iCs w:val="false"/>
          <w:color w:val="2B2B2B"/>
          <w:sz w:val="20"/>
          <w:szCs w:val="20"/>
          <w:rtl/>
        </w:rPr>
        <w:t xml:space="preserve">قدّرت تكلفة التأسيس بين 80 و100 ألف ريال، والدعم الفني 3,000 ريال شهريًا، والتسويق الإلكتروني بين 10 و20 ألف ريال شهريًا، إضافة إلى الرواتب حسب حجم الفريق. وتوقعت أن تتحقق نقطة التعادل بين 12 و18 شهرًا.</w:t>
      </w:r>
    </w:p>
    <w:p>
      <w:pPr>
        <w:keepNext/>
        <w:bidi/>
        <w:spacing w:after="80" w:before="180"/>
      </w:pPr>
      <w:r>
        <w:rPr>
          <w:rFonts w:ascii="Arial" w:cs="Arial" w:eastAsia="Arial" w:hAnsi="Arial"/>
          <w:b/>
          <w:bCs/>
          <w:i w:val="false"/>
          <w:iCs w:val="false"/>
          <w:color w:val="3B1F57"/>
          <w:sz w:val="25"/>
          <w:szCs w:val="25"/>
          <w:rtl/>
        </w:rPr>
        <w:t xml:space="preserve">التحليل التنافسي</w:t>
      </w:r>
    </w:p>
    <w:p>
      <w:pPr>
        <w:bidi/>
        <w:spacing w:after="80" w:before="0" w:line="300"/>
      </w:pPr>
      <w:r>
        <w:rPr>
          <w:rFonts w:ascii="Arial" w:cs="Arial" w:eastAsia="Arial" w:hAnsi="Arial"/>
          <w:b w:val="false"/>
          <w:i w:val="false"/>
          <w:iCs w:val="false"/>
          <w:color w:val="2B2B2B"/>
          <w:sz w:val="20"/>
          <w:szCs w:val="20"/>
          <w:rtl/>
        </w:rPr>
        <w:t xml:space="preserve">قارنت المشروع مع ثلاث منصات قائمة (Fresha وBooksy وStelySeat) في ثمانية معايير. يوضح الجدول المعايير التي تتباين فيها المنصات:</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1726"/>
        <w:gridCol w:w="1726"/>
        <w:gridCol w:w="1727"/>
        <w:gridCol w:w="1727"/>
      </w:tblGrid>
      <w:tr>
        <w:trPr>
          <w:cantSplit/>
          <w:tblHeader/>
        </w:trPr>
        <w:tc>
          <w:tcPr>
            <w:tcW w:type="dxa" w:w="3000"/>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المعيار</w:t>
            </w:r>
          </w:p>
        </w:tc>
        <w:tc>
          <w:tcPr>
            <w:tcW w:type="dxa" w:w="1726"/>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ChicClick</w:t>
            </w:r>
          </w:p>
        </w:tc>
        <w:tc>
          <w:tcPr>
            <w:tcW w:type="dxa" w:w="1726"/>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Fresha</w:t>
            </w:r>
          </w:p>
        </w:tc>
        <w:tc>
          <w:tcPr>
            <w:tcW w:type="dxa" w:w="1727"/>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Booksy</w:t>
            </w:r>
          </w:p>
        </w:tc>
        <w:tc>
          <w:tcPr>
            <w:tcW w:type="dxa" w:w="1727"/>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StelySeat</w:t>
            </w:r>
          </w:p>
        </w:tc>
      </w:tr>
      <w:tr>
        <w:trPr>
          <w:cantSplit/>
        </w:trPr>
        <w:tc>
          <w:tcPr>
            <w:tcW w:type="dxa" w:w="30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تحليلات متقدمة</w:t>
            </w:r>
          </w:p>
        </w:tc>
        <w:tc>
          <w:tcPr>
            <w:tcW w:type="dxa" w:w="1726"/>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w:t>
            </w:r>
          </w:p>
        </w:tc>
        <w:tc>
          <w:tcPr>
            <w:tcW w:type="dxa" w:w="172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w:t>
            </w:r>
          </w:p>
        </w:tc>
        <w:tc>
          <w:tcPr>
            <w:tcW w:type="dxa" w:w="1727"/>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w:t>
            </w:r>
          </w:p>
        </w:tc>
        <w:tc>
          <w:tcPr>
            <w:tcW w:type="dxa" w:w="1727"/>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999999"/>
                <w:sz w:val="18"/>
                <w:szCs w:val="18"/>
                <w:rtl/>
              </w:rPr>
              <w:t xml:space="preserve">—</w:t>
            </w:r>
          </w:p>
        </w:tc>
      </w:tr>
      <w:tr>
        <w:trPr>
          <w:cantSplit/>
        </w:trPr>
        <w:tc>
          <w:tcPr>
            <w:tcW w:type="dxa" w:w="30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واجهة مستخدم بسيطة</w:t>
            </w:r>
          </w:p>
        </w:tc>
        <w:tc>
          <w:tcPr>
            <w:tcW w:type="dxa" w:w="1726"/>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w:t>
            </w:r>
          </w:p>
        </w:tc>
        <w:tc>
          <w:tcPr>
            <w:tcW w:type="dxa" w:w="172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999999"/>
                <w:sz w:val="18"/>
                <w:szCs w:val="18"/>
                <w:rtl/>
              </w:rPr>
              <w:t xml:space="preserve">—</w:t>
            </w:r>
          </w:p>
        </w:tc>
        <w:tc>
          <w:tcPr>
            <w:tcW w:type="dxa" w:w="1727"/>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w:t>
            </w:r>
          </w:p>
        </w:tc>
        <w:tc>
          <w:tcPr>
            <w:tcW w:type="dxa" w:w="1727"/>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w:t>
            </w:r>
          </w:p>
        </w:tc>
      </w:tr>
      <w:tr>
        <w:trPr>
          <w:cantSplit/>
        </w:trPr>
        <w:tc>
          <w:tcPr>
            <w:tcW w:type="dxa" w:w="30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دعم الخبراء المستقلين</w:t>
            </w:r>
          </w:p>
        </w:tc>
        <w:tc>
          <w:tcPr>
            <w:tcW w:type="dxa" w:w="1726"/>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w:t>
            </w:r>
          </w:p>
        </w:tc>
        <w:tc>
          <w:tcPr>
            <w:tcW w:type="dxa" w:w="172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999999"/>
                <w:sz w:val="18"/>
                <w:szCs w:val="18"/>
                <w:rtl/>
              </w:rPr>
              <w:t xml:space="preserve">—</w:t>
            </w:r>
          </w:p>
        </w:tc>
        <w:tc>
          <w:tcPr>
            <w:tcW w:type="dxa" w:w="1727"/>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999999"/>
                <w:sz w:val="18"/>
                <w:szCs w:val="18"/>
                <w:rtl/>
              </w:rPr>
              <w:t xml:space="preserve">—</w:t>
            </w:r>
          </w:p>
        </w:tc>
        <w:tc>
          <w:tcPr>
            <w:tcW w:type="dxa" w:w="1727"/>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w:t>
            </w:r>
          </w:p>
        </w:tc>
      </w:tr>
      <w:tr>
        <w:trPr>
          <w:cantSplit/>
        </w:trPr>
        <w:tc>
          <w:tcPr>
            <w:tcW w:type="dxa" w:w="30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توفير خبراء تقنيين</w:t>
            </w:r>
          </w:p>
        </w:tc>
        <w:tc>
          <w:tcPr>
            <w:tcW w:type="dxa" w:w="1726"/>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w:t>
            </w:r>
          </w:p>
        </w:tc>
        <w:tc>
          <w:tcPr>
            <w:tcW w:type="dxa" w:w="172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999999"/>
                <w:sz w:val="18"/>
                <w:szCs w:val="18"/>
                <w:rtl/>
              </w:rPr>
              <w:t xml:space="preserve">—</w:t>
            </w:r>
          </w:p>
        </w:tc>
        <w:tc>
          <w:tcPr>
            <w:tcW w:type="dxa" w:w="1727"/>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999999"/>
                <w:sz w:val="18"/>
                <w:szCs w:val="18"/>
                <w:rtl/>
              </w:rPr>
              <w:t xml:space="preserve">—</w:t>
            </w:r>
          </w:p>
        </w:tc>
        <w:tc>
          <w:tcPr>
            <w:tcW w:type="dxa" w:w="1727"/>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999999"/>
                <w:sz w:val="18"/>
                <w:szCs w:val="18"/>
                <w:rtl/>
              </w:rPr>
              <w:t xml:space="preserve">—</w:t>
            </w:r>
          </w:p>
        </w:tc>
      </w:tr>
      <w:tr>
        <w:trPr>
          <w:cantSplit/>
        </w:trPr>
        <w:tc>
          <w:tcPr>
            <w:tcW w:type="dxa" w:w="30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الاشتراك والعمولة</w:t>
            </w:r>
          </w:p>
        </w:tc>
        <w:tc>
          <w:tcPr>
            <w:tcW w:type="dxa" w:w="1726"/>
            <w:tcBorders>
              <w:top w:val="single" w:color="D9C7C7" w:sz="4"/>
              <w:left w:val="single" w:color="D9C7C7" w:sz="4"/>
              <w:bottom w:val="single" w:color="D9C7C7" w:sz="4"/>
              <w:right w:val="single" w:color="D9C7C7" w:sz="4"/>
            </w:tcBorders>
            <w:shd w:fill="FBF5F5"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2B2B2B"/>
                <w:sz w:val="18"/>
                <w:szCs w:val="18"/>
                <w:rtl/>
              </w:rPr>
              <w:t xml:space="preserve">مناسب</w:t>
            </w:r>
          </w:p>
        </w:tc>
        <w:tc>
          <w:tcPr>
            <w:tcW w:type="dxa" w:w="172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مرتفع</w:t>
            </w:r>
          </w:p>
        </w:tc>
        <w:tc>
          <w:tcPr>
            <w:tcW w:type="dxa" w:w="1727"/>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مرتفع</w:t>
            </w:r>
          </w:p>
        </w:tc>
        <w:tc>
          <w:tcPr>
            <w:tcW w:type="dxa" w:w="1727"/>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jc w:val="center"/>
            </w:pPr>
            <w:r>
              <w:rPr>
                <w:rFonts w:ascii="Arial" w:cs="Arial" w:eastAsia="Arial" w:hAnsi="Arial"/>
                <w:b w:val="false"/>
                <w:i w:val="false"/>
                <w:iCs w:val="false"/>
                <w:color w:val="2B2B2B"/>
                <w:sz w:val="18"/>
                <w:szCs w:val="18"/>
                <w:rtl/>
              </w:rPr>
              <w:t xml:space="preserve">مرتفع</w:t>
            </w:r>
          </w:p>
        </w:tc>
      </w:tr>
    </w:tbl>
    <w:p>
      <w:pPr>
        <w:bidi/>
        <w:spacing w:after="0" w:before="80" w:line="300"/>
      </w:pPr>
      <w:r>
        <w:rPr>
          <w:rFonts w:ascii="Arial" w:cs="Arial" w:eastAsia="Arial" w:hAnsi="Arial"/>
          <w:b w:val="false"/>
          <w:i w:val="false"/>
          <w:iCs w:val="false"/>
          <w:color w:val="2B2B2B"/>
          <w:sz w:val="19"/>
          <w:szCs w:val="19"/>
          <w:rtl/>
        </w:rPr>
        <w:t xml:space="preserve">الميزة التي افترضت أنها تميز المشروع هي توفير خبراء تقنيين للصالونات، إضافة إلى سعر اشتراك أقل من البدائل. وهذه المقارنة من تقديري ولم أتحقق منها من مصادر خارجية.</w:t>
      </w:r>
    </w:p>
    <w:p>
      <w:r>
        <w:br w:type="page"/>
      </w:r>
    </w:p>
    <w:p>
      <w:pPr>
        <w:keepNext/>
        <w:pBdr>
          <w:bottom w:val="single" w:color="C4A3A3" w:sz="12" w:space="4"/>
        </w:pBdr>
        <w:bidi/>
        <w:spacing w:after="140" w:before="0"/>
      </w:pPr>
      <w:r>
        <w:rPr>
          <w:rFonts w:ascii="Arial" w:cs="Arial" w:eastAsia="Arial" w:hAnsi="Arial"/>
          <w:b/>
          <w:bCs/>
          <w:i w:val="false"/>
          <w:iCs w:val="false"/>
          <w:color w:val="3B1F57"/>
          <w:sz w:val="32"/>
          <w:szCs w:val="32"/>
          <w:rtl/>
        </w:rPr>
        <w:t xml:space="preserve">حدود عملي وخطة تطويري</w:t>
      </w:r>
    </w:p>
    <w:p>
      <w:pPr>
        <w:bidi/>
        <w:spacing w:after="100" w:before="0" w:line="300"/>
      </w:pPr>
      <w:r>
        <w:rPr>
          <w:rFonts w:ascii="Arial" w:cs="Arial" w:eastAsia="Arial" w:hAnsi="Arial"/>
          <w:b w:val="false"/>
          <w:i w:val="false"/>
          <w:iCs w:val="false"/>
          <w:color w:val="2B2B2B"/>
          <w:sz w:val="21"/>
          <w:szCs w:val="21"/>
          <w:rtl/>
        </w:rPr>
        <w:t xml:space="preserve">أرى أن إظهار حدود التحليل جزء من مهارة المحلل، لأنه يحدد مقدار الثقة التي تستحقها النتائج. هذه أبرز الحدود في هذا المشروع وطريقتي في معالجتها:</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rPr>
          <w:cantSplit/>
          <w:tblHeader/>
        </w:trPr>
        <w:tc>
          <w:tcPr>
            <w:tcW w:type="dxa" w:w="3200"/>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الحد في عملي</w:t>
            </w:r>
          </w:p>
        </w:tc>
        <w:tc>
          <w:tcPr>
            <w:tcW w:type="dxa" w:w="6706"/>
            <w:tcBorders>
              <w:top w:val="single" w:color="D9C7C7" w:sz="4"/>
              <w:left w:val="single" w:color="D9C7C7" w:sz="4"/>
              <w:bottom w:val="single" w:color="D9C7C7" w:sz="4"/>
              <w:right w:val="single" w:color="D9C7C7" w:sz="4"/>
            </w:tcBorders>
            <w:shd w:fill="3B1F57" w:color="auto" w:val="clear"/>
            <w:tcMar>
              <w:top w:type="dxa" w:w="70"/>
              <w:left w:type="dxa" w:w="110"/>
              <w:bottom w:type="dxa" w:w="70"/>
              <w:right w:type="dxa" w:w="110"/>
            </w:tcMar>
            <w:vAlign w:val="center"/>
          </w:tcPr>
          <w:p>
            <w:pPr>
              <w:bidi/>
              <w:spacing w:after="0" w:before="0" w:line="270"/>
              <w:jc w:val="center"/>
            </w:pPr>
            <w:r>
              <w:rPr>
                <w:rFonts w:ascii="Arial" w:cs="Arial" w:eastAsia="Arial" w:hAnsi="Arial"/>
                <w:b/>
                <w:bCs/>
                <w:i w:val="false"/>
                <w:iCs w:val="false"/>
                <w:color w:val="FFFFFF"/>
                <w:sz w:val="19"/>
                <w:szCs w:val="19"/>
                <w:rtl/>
              </w:rPr>
              <w:t xml:space="preserve">أثره وكيف أعالجه</w:t>
            </w:r>
          </w:p>
        </w:tc>
      </w:tr>
      <w:tr>
        <w:trPr>
          <w:cantSplit/>
        </w:trPr>
        <w:tc>
          <w:tcPr>
            <w:tcW w:type="dxa" w:w="32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العينة صغيرة وغير عشوائية</w:t>
            </w:r>
          </w:p>
        </w:tc>
        <w:tc>
          <w:tcPr>
            <w:tcW w:type="dxa" w:w="6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النتائج مؤشر أولي وليست تعميمًا على السوق. أعالجه بعينة أكبر وأوسع تنوعًا.</w:t>
            </w:r>
          </w:p>
        </w:tc>
      </w:tr>
      <w:tr>
        <w:trPr>
          <w:cantSplit/>
        </w:trPr>
        <w:tc>
          <w:tcPr>
            <w:tcW w:type="dxa" w:w="32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بعض الأسئلة تذكر ChicClick مباشرة</w:t>
            </w:r>
          </w:p>
        </w:tc>
        <w:tc>
          <w:tcPr>
            <w:tcW w:type="dxa" w:w="6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قد يرفع الإجابات الإيجابية. أعالجه بصياغة أسئلة محايدة.</w:t>
            </w:r>
          </w:p>
        </w:tc>
      </w:tr>
      <w:tr>
        <w:trPr>
          <w:cantSplit/>
        </w:trPr>
        <w:tc>
          <w:tcPr>
            <w:tcW w:type="dxa" w:w="32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لم أستطلع أصحاب الصالونات</w:t>
            </w:r>
          </w:p>
        </w:tc>
        <w:tc>
          <w:tcPr>
            <w:tcW w:type="dxa" w:w="6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الدراسة غطت جانب العميلات فقط، أما استعداد الصالونات لدفع 149 أو 199 ريالًا فبقي فرضية. أحتاج مقابلات معهم.</w:t>
            </w:r>
          </w:p>
        </w:tc>
      </w:tr>
      <w:tr>
        <w:trPr>
          <w:cantSplit/>
        </w:trPr>
        <w:tc>
          <w:tcPr>
            <w:tcW w:type="dxa" w:w="32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الإيراد السنوي = 12 × الشهري</w:t>
            </w:r>
          </w:p>
        </w:tc>
        <w:tc>
          <w:tcPr>
            <w:tcW w:type="dxa" w:w="6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يفترض اشتراك 500 صالون من الشهر الأول، بينما الواقع نمو تدريجي. أعالجه بنموذج شهري متدرج.</w:t>
            </w:r>
          </w:p>
        </w:tc>
      </w:tr>
      <w:tr>
        <w:trPr>
          <w:cantSplit/>
        </w:trPr>
        <w:tc>
          <w:tcPr>
            <w:tcW w:type="dxa" w:w="3200"/>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bCs/>
                <w:i w:val="false"/>
                <w:iCs w:val="false"/>
                <w:color w:val="3B1F57"/>
                <w:sz w:val="18"/>
                <w:szCs w:val="18"/>
                <w:rtl/>
              </w:rPr>
              <w:t xml:space="preserve">نقطة التعادل تقدير</w:t>
            </w:r>
          </w:p>
        </w:tc>
        <w:tc>
          <w:tcPr>
            <w:tcW w:type="dxa" w:w="6706"/>
            <w:tcBorders>
              <w:top w:val="single" w:color="D9C7C7" w:sz="4"/>
              <w:left w:val="single" w:color="D9C7C7" w:sz="4"/>
              <w:bottom w:val="single" w:color="D9C7C7" w:sz="4"/>
              <w:right w:val="single" w:color="D9C7C7" w:sz="4"/>
            </w:tcBorders>
            <w:tcMar>
              <w:top w:type="dxa" w:w="70"/>
              <w:left w:type="dxa" w:w="110"/>
              <w:bottom w:type="dxa" w:w="70"/>
              <w:right w:type="dxa" w:w="110"/>
            </w:tcMar>
            <w:vAlign w:val="center"/>
          </w:tcPr>
          <w:p>
            <w:pPr>
              <w:bidi/>
              <w:spacing w:after="0" w:before="0" w:line="270"/>
            </w:pPr>
            <w:r>
              <w:rPr>
                <w:rFonts w:ascii="Arial" w:cs="Arial" w:eastAsia="Arial" w:hAnsi="Arial"/>
                <w:b w:val="false"/>
                <w:i w:val="false"/>
                <w:iCs w:val="false"/>
                <w:color w:val="2B2B2B"/>
                <w:sz w:val="18"/>
                <w:szCs w:val="18"/>
                <w:rtl/>
              </w:rPr>
              <w:t xml:space="preserve">لم أبنها على جدول شهري يضم الرواتب. أعالجه بجدول تدفقات نقدية وسيناريوهات متفائل ومتحفظ.</w:t>
            </w:r>
          </w:p>
        </w:tc>
      </w:tr>
    </w:tbl>
    <w:p>
      <w:pPr>
        <w:keepNext/>
        <w:bidi/>
        <w:spacing w:after="80" w:before="180"/>
      </w:pPr>
      <w:r>
        <w:rPr>
          <w:rFonts w:ascii="Arial" w:cs="Arial" w:eastAsia="Arial" w:hAnsi="Arial"/>
          <w:b/>
          <w:bCs/>
          <w:i w:val="false"/>
          <w:iCs w:val="false"/>
          <w:color w:val="3B1F57"/>
          <w:sz w:val="25"/>
          <w:szCs w:val="25"/>
          <w:rtl/>
        </w:rPr>
        <w:t xml:space="preserve">ما أعمل على تطويره</w:t>
      </w:r>
    </w:p>
    <w:p>
      <w:pPr>
        <w:pStyle w:val="ListParagraph"/>
        <w:numPr>
          <w:ilvl w:val="0"/>
          <w:numId w:val="2"/>
        </w:numPr>
        <w:bidi/>
        <w:spacing w:after="60" w:before="0" w:line="290"/>
      </w:pPr>
      <w:r>
        <w:rPr>
          <w:rFonts w:ascii="Arial" w:cs="Arial" w:eastAsia="Arial" w:hAnsi="Arial"/>
          <w:b w:val="false"/>
          <w:i w:val="false"/>
          <w:iCs w:val="false"/>
          <w:color w:val="2B2B2B"/>
          <w:sz w:val="20"/>
          <w:szCs w:val="20"/>
          <w:rtl/>
        </w:rPr>
        <w:t xml:space="preserve">تحليل البيانات بأدوات أقوى من الجداول البسيطة، مثل SQL وPython أو Excel المتقدم.</w:t>
      </w:r>
    </w:p>
    <w:p>
      <w:pPr>
        <w:pStyle w:val="ListParagraph"/>
        <w:numPr>
          <w:ilvl w:val="0"/>
          <w:numId w:val="2"/>
        </w:numPr>
        <w:bidi/>
        <w:spacing w:after="60" w:before="0" w:line="290"/>
      </w:pPr>
      <w:r>
        <w:rPr>
          <w:rFonts w:ascii="Arial" w:cs="Arial" w:eastAsia="Arial" w:hAnsi="Arial"/>
          <w:b w:val="false"/>
          <w:i w:val="false"/>
          <w:iCs w:val="false"/>
          <w:color w:val="2B2B2B"/>
          <w:sz w:val="20"/>
          <w:szCs w:val="20"/>
          <w:rtl/>
        </w:rPr>
        <w:t xml:space="preserve">الاستدلال الإحصائي: حدود الثقة واختبارات الدلالة بدل الاكتفاء بالنسب الوصفية.</w:t>
      </w:r>
    </w:p>
    <w:p>
      <w:pPr>
        <w:pStyle w:val="ListParagraph"/>
        <w:numPr>
          <w:ilvl w:val="0"/>
          <w:numId w:val="2"/>
        </w:numPr>
        <w:bidi/>
        <w:spacing w:after="60" w:before="0" w:line="290"/>
      </w:pPr>
      <w:r>
        <w:rPr>
          <w:rFonts w:ascii="Arial" w:cs="Arial" w:eastAsia="Arial" w:hAnsi="Arial"/>
          <w:b w:val="false"/>
          <w:i w:val="false"/>
          <w:iCs w:val="false"/>
          <w:color w:val="2B2B2B"/>
          <w:sz w:val="20"/>
          <w:szCs w:val="20"/>
          <w:rtl/>
        </w:rPr>
        <w:t xml:space="preserve">تحليل الحساسية ونمذجة السيناريوهات في النماذج المالية.</w:t>
      </w:r>
    </w:p>
    <w:p>
      <w:pPr>
        <w:pStyle w:val="ListParagraph"/>
        <w:numPr>
          <w:ilvl w:val="0"/>
          <w:numId w:val="2"/>
        </w:numPr>
        <w:bidi/>
        <w:spacing w:after="60" w:before="0" w:line="290"/>
      </w:pPr>
      <w:r>
        <w:rPr>
          <w:rFonts w:ascii="Arial" w:cs="Arial" w:eastAsia="Arial" w:hAnsi="Arial"/>
          <w:b w:val="false"/>
          <w:i w:val="false"/>
          <w:iCs w:val="false"/>
          <w:color w:val="2B2B2B"/>
          <w:sz w:val="20"/>
          <w:szCs w:val="20"/>
          <w:rtl/>
        </w:rPr>
        <w:t xml:space="preserve">تصميم تجارب واستبيانات أقل تحيزًا، وإجراء مقابلات نوعية مع أصحاب المصلحة.</w:t>
      </w:r>
    </w:p>
    <w:p>
      <w:pPr>
        <w:keepNext/>
        <w:bidi/>
        <w:spacing w:after="80" w:before="180"/>
      </w:pPr>
      <w:r>
        <w:rPr>
          <w:rFonts w:ascii="Arial" w:cs="Arial" w:eastAsia="Arial" w:hAnsi="Arial"/>
          <w:b/>
          <w:bCs/>
          <w:i w:val="false"/>
          <w:iCs w:val="false"/>
          <w:color w:val="3B1F57"/>
          <w:sz w:val="25"/>
          <w:szCs w:val="25"/>
          <w:rtl/>
        </w:rPr>
        <w:t xml:space="preserve">الأدوار التي أستهدفها</w:t>
      </w:r>
    </w:p>
    <w:p>
      <w:pPr>
        <w:bidi/>
        <w:spacing w:after="100" w:before="0" w:line="300"/>
      </w:pPr>
      <w:r>
        <w:rPr>
          <w:rFonts w:ascii="Arial" w:cs="Arial" w:eastAsia="Arial" w:hAnsi="Arial"/>
          <w:b w:val="false"/>
          <w:i w:val="false"/>
          <w:iCs w:val="false"/>
          <w:color w:val="2B2B2B"/>
          <w:sz w:val="20"/>
          <w:szCs w:val="20"/>
          <w:rtl/>
        </w:rPr>
        <w:t xml:space="preserve">محللة بيانات مبتدئة، ومحللة أعمال، وباحثة سوق، ومساعدة في تطوير الأعمال في الشركات الناشئة. أستطيع أن أقدم لهذه الأدوار فهمًا للمشكلة قبل البيانات، ومنهجية واضحة من السؤال إلى القرار، وقدرة على عرض النتائج لجمهور غير متخصص.</w:t>
      </w:r>
    </w:p>
    <w:p>
      <w:pPr>
        <w:bidi/>
        <w:spacing w:after="0" w:before="0" w:line="300"/>
      </w:pPr>
      <w:r>
        <w:rPr>
          <w:rFonts w:ascii="Arial" w:cs="Arial" w:eastAsia="Arial" w:hAnsi="Arial"/>
          <w:b/>
          <w:bCs/>
          <w:i w:val="false"/>
          <w:iCs w:val="false"/>
          <w:color w:val="3B1F57"/>
          <w:sz w:val="20"/>
          <w:szCs w:val="20"/>
          <w:rtl/>
        </w:rPr>
        <w:t xml:space="preserve">للتواصل: </w:t>
      </w:r>
      <w:r>
        <w:rPr>
          <w:rFonts w:ascii="Arial" w:cs="Arial" w:eastAsia="Arial" w:hAnsi="Arial"/>
          <w:b w:val="false"/>
          <w:i w:val="false"/>
          <w:iCs w:val="false"/>
          <w:color w:val="2B2B2B"/>
          <w:sz w:val="20"/>
          <w:szCs w:val="20"/>
          <w:rtl/>
        </w:rPr>
        <w:t xml:space="preserve">linkedin.com/in/orgwan-dandeni</w:t>
      </w:r>
    </w:p>
    <w:sectPr>
      <w:headerReference w:type="default" r:id="rId7"/>
      <w:footerReference w:type="default" r:id="rId8"/>
      <w:pgSz w:w="11906" w:h="16838" w:orient="portrait"/>
      <w:pgMar w:top="1000" w:right="1000" w:bottom="1000" w:left="100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iCs w:val="false"/>
        <w:color w:val="7A7A5F"/>
        <w:sz w:val="16"/>
        <w:szCs w:val="16"/>
        <w:rtl/>
      </w:rPr>
      <w:t xml:space="preserve">صفحة </w:t>
    </w:r>
    <w:r>
      <w:rPr>
        <w:rFonts w:ascii="Arial" w:cs="Arial" w:eastAsia="Arial" w:hAnsi="Arial"/>
        <w:color w:val="7A7A5F"/>
        <w:sz w:val="16"/>
        <w:szCs w:val="16"/>
        <w:rtl/>
      </w:rPr>
      <w:fldChar w:fldCharType="begin"/>
      <w:instrText xml:space="preserve">PAGE</w:instrText>
      <w:fldChar w:fldCharType="separate"/>
      <w:fldChar w:fldCharType="end"/>
    </w:r>
    <w:r>
      <w:rPr>
        <w:rFonts w:ascii="Arial" w:cs="Arial" w:eastAsia="Arial" w:hAnsi="Arial"/>
        <w:b w:val="false"/>
        <w:i w:val="false"/>
        <w:iCs w:val="false"/>
        <w:color w:val="7A7A5F"/>
        <w:sz w:val="16"/>
        <w:szCs w:val="16"/>
        <w:rtl/>
      </w:rPr>
      <w:t xml:space="preserve"> من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pPr>
    <w:r>
      <w:rPr>
        <w:rFonts w:ascii="Arial" w:cs="Arial" w:eastAsia="Arial" w:hAnsi="Arial"/>
        <w:b w:val="false"/>
        <w:i w:val="false"/>
        <w:iCs w:val="false"/>
        <w:color w:val="7A7A5F"/>
        <w:sz w:val="16"/>
        <w:szCs w:val="16"/>
        <w:rtl/>
      </w:rPr>
      <w:t xml:space="preserve">أرجوان دنديني  |  تقرير مهارات تحليل البيانات والأعمال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400" w:hanging="260"/>
      </w:pPr>
      <w:rPr>
        <w:color w:val="C4A3A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تحليلي: مهاراتي في تحليل البيانات والأعمال</dc:title>
  <dc:creator>أرجوان دنديني</dc:creator>
  <cp:lastModifiedBy>Un-named</cp:lastModifiedBy>
  <cp:revision>1</cp:revision>
  <dcterms:created xsi:type="dcterms:W3CDTF">2026-10-26T09:21:19.473Z</dcterms:created>
  <dcterms:modified xsi:type="dcterms:W3CDTF">2026-10-26T09:21:19.478Z</dcterms:modified>
</cp:coreProperties>
</file>

<file path=docProps/custom.xml><?xml version="1.0" encoding="utf-8"?>
<Properties xmlns="http://schemas.openxmlformats.org/officeDocument/2006/custom-properties" xmlns:vt="http://schemas.openxmlformats.org/officeDocument/2006/docPropsVTypes"/>
</file>