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B5E2C" w14:textId="59ECBD75" w:rsidR="00B540FB" w:rsidRPr="00340794" w:rsidRDefault="00162F62" w:rsidP="00340794">
      <w:pPr>
        <w:pStyle w:val="Appendix"/>
        <w:rPr>
          <w:rStyle w:val="Strong"/>
          <w:rFonts w:cs="Times New Roman"/>
          <w:b w:val="0"/>
          <w:bCs/>
          <w:sz w:val="36"/>
          <w:szCs w:val="40"/>
        </w:rPr>
      </w:pPr>
      <w:r w:rsidRPr="00340794">
        <w:t>Supplementary Material for the VALIDATE-HF Analytical Framework</w:t>
      </w:r>
    </w:p>
    <w:p w14:paraId="2138925B" w14:textId="77777777" w:rsidR="00B540FB" w:rsidRPr="00340794" w:rsidRDefault="00B540FB" w:rsidP="00B66C27">
      <w:pPr>
        <w:pStyle w:val="AppendixH1"/>
        <w:rPr>
          <w:rStyle w:val="Strong"/>
          <w:rFonts w:cs="Times New Roman"/>
          <w:b w:val="0"/>
          <w:bCs/>
        </w:rPr>
      </w:pPr>
      <w:bookmarkStart w:id="0" w:name="_Ref156650253"/>
      <w:r w:rsidRPr="00340794">
        <w:rPr>
          <w:rStyle w:val="Strong"/>
          <w:rFonts w:cs="Times New Roman"/>
          <w:b w:val="0"/>
          <w:bCs/>
        </w:rPr>
        <w:t>Appendix A: Important Considerations in DHT Data Collection</w:t>
      </w:r>
      <w:bookmarkEnd w:id="0"/>
    </w:p>
    <w:p w14:paraId="125374C5" w14:textId="77777777" w:rsidR="00B540FB" w:rsidRPr="00340794" w:rsidRDefault="00B540FB" w:rsidP="00B540FB">
      <w:pPr>
        <w:rPr>
          <w:bCs/>
        </w:rPr>
      </w:pPr>
      <w:r w:rsidRPr="00340794">
        <w:rPr>
          <w:bCs/>
        </w:rPr>
        <w:t xml:space="preserve">Standard practices for actigraphy measurements are as important as the reliability assessment itself. Here we present additional information on how to prepare and design the most effective validation method for DHTs. </w:t>
      </w:r>
    </w:p>
    <w:p w14:paraId="26B35686" w14:textId="77777777" w:rsidR="00B540FB" w:rsidRPr="00340794" w:rsidRDefault="00B540FB" w:rsidP="00B540FB">
      <w:pPr>
        <w:pStyle w:val="AppendixH2"/>
        <w:rPr>
          <w:rFonts w:cs="Times New Roman"/>
          <w:b w:val="0"/>
          <w:bCs/>
        </w:rPr>
      </w:pPr>
      <w:bookmarkStart w:id="1" w:name="_Ref156650718"/>
      <w:r w:rsidRPr="00340794">
        <w:rPr>
          <w:rFonts w:cs="Times New Roman"/>
          <w:b w:val="0"/>
          <w:bCs/>
        </w:rPr>
        <w:t>A.1</w:t>
      </w:r>
      <w:r w:rsidRPr="00340794">
        <w:rPr>
          <w:rFonts w:cs="Times New Roman"/>
          <w:b w:val="0"/>
          <w:bCs/>
        </w:rPr>
        <w:tab/>
        <w:t>Practical Considerations</w:t>
      </w:r>
      <w:bookmarkEnd w:id="1"/>
    </w:p>
    <w:p w14:paraId="490B2BEB" w14:textId="77777777" w:rsidR="00B540FB" w:rsidRPr="00340794" w:rsidRDefault="00B540FB" w:rsidP="00B540FB">
      <w:pPr>
        <w:rPr>
          <w:bCs/>
        </w:rPr>
      </w:pPr>
      <w:r w:rsidRPr="00340794">
        <w:rPr>
          <w:bCs/>
        </w:rPr>
        <w:t xml:space="preserve">To collect accurate and reliable data for actigraphy measurements, researchers should consider the limitations of their cohorts carefully, such as physical limitations, DHT placement, duration of the measurement, among others. Validation of actigraphy DHTs may require manual measurement (such as 6MWD or step count) or other validated DHTs (sleep quality, or activity rate). The first step in the validation is ensuring that the consistency in the measurement setting and data quality. </w:t>
      </w:r>
    </w:p>
    <w:p w14:paraId="4CA0BD06" w14:textId="77777777" w:rsidR="00B540FB" w:rsidRPr="00340794" w:rsidRDefault="00B540FB" w:rsidP="00B540FB">
      <w:pPr>
        <w:rPr>
          <w:bCs/>
        </w:rPr>
      </w:pPr>
      <w:r w:rsidRPr="00340794">
        <w:rPr>
          <w:bCs/>
        </w:rPr>
        <w:t xml:space="preserve">Sampling actigraphy data, in addition to referring to specific guidelines for collecting data from the unvalidated DHT, also encapsulates data collection practices for the gold standard. Most common issue in actigraphy measurements are inter-rater and intra-rater variability, as well as changes due to the environment (time of the day, location, etc.). </w:t>
      </w:r>
    </w:p>
    <w:p w14:paraId="4D80632C" w14:textId="77777777" w:rsidR="00B540FB" w:rsidRPr="00340794" w:rsidRDefault="00B540FB" w:rsidP="00B540FB">
      <w:pPr>
        <w:rPr>
          <w:bCs/>
        </w:rPr>
      </w:pPr>
      <w:r w:rsidRPr="00340794">
        <w:rPr>
          <w:bCs/>
        </w:rPr>
        <w:t>Furthermore, data acquisition practices should report the sampling rate of the DHT as well as the gold standard to ensure no aliasing effect or under sampling occurs during feature extraction. For example, activity counts for a sampling rate of 30 Hz and 100 Hz for the same device can have a bias as large as 1,000 –3,000 more counts per minute, accounting for more than 10% difference 18. In addition, outliers and preprocessing the data will minimize the effect of rater-based errors, giving a clearer picture of the DHT reliability.</w:t>
      </w:r>
    </w:p>
    <w:p w14:paraId="51698093" w14:textId="77777777" w:rsidR="00B540FB" w:rsidRPr="00340794" w:rsidRDefault="00B540FB" w:rsidP="00B540FB">
      <w:pPr>
        <w:pStyle w:val="AppendixH2"/>
        <w:rPr>
          <w:rFonts w:cs="Times New Roman"/>
          <w:b w:val="0"/>
          <w:bCs/>
        </w:rPr>
      </w:pPr>
      <w:bookmarkStart w:id="2" w:name="_Ref156650364"/>
      <w:r w:rsidRPr="00340794">
        <w:rPr>
          <w:rFonts w:cs="Times New Roman"/>
          <w:b w:val="0"/>
          <w:bCs/>
        </w:rPr>
        <w:lastRenderedPageBreak/>
        <w:t>A.2</w:t>
      </w:r>
      <w:r w:rsidRPr="00340794">
        <w:rPr>
          <w:rFonts w:cs="Times New Roman"/>
          <w:b w:val="0"/>
          <w:bCs/>
        </w:rPr>
        <w:tab/>
        <w:t>The Difference Between Agreement and Correlation</w:t>
      </w:r>
      <w:bookmarkEnd w:id="2"/>
    </w:p>
    <w:p w14:paraId="57766F54" w14:textId="77777777" w:rsidR="00B540FB" w:rsidRPr="00340794" w:rsidRDefault="00B540FB" w:rsidP="00B540FB">
      <w:pPr>
        <w:rPr>
          <w:bCs/>
        </w:rPr>
      </w:pPr>
      <w:r w:rsidRPr="00340794">
        <w:rPr>
          <w:bCs/>
        </w:rPr>
        <w:t>As mentioned in the framework, correlation measures the strength of the linear relationship between two variables, whereas agreement measures the consistency between them, meaning how well they match.</w:t>
      </w:r>
    </w:p>
    <w:p w14:paraId="7599C0E1" w14:textId="77777777" w:rsidR="00B540FB" w:rsidRPr="00340794" w:rsidRDefault="00B540FB" w:rsidP="00B540FB">
      <w:pPr>
        <w:rPr>
          <w:bCs/>
        </w:rPr>
      </w:pPr>
      <w:r w:rsidRPr="00340794">
        <w:rPr>
          <w:bCs/>
        </w:rPr>
        <w:t xml:space="preserve">Two variables could be strongly linearly related, hence highly correlated, but not agreeing. For example, temperatures in °C and °F are highly correlated as they are linearly proportional but do not agree, since 0°C is not the same temperature as 0°F, as illustrated by </w:t>
      </w:r>
      <w:r w:rsidRPr="00340794">
        <w:rPr>
          <w:bCs/>
        </w:rPr>
        <w:fldChar w:fldCharType="begin"/>
      </w:r>
      <w:r w:rsidRPr="00340794">
        <w:rPr>
          <w:bCs/>
        </w:rPr>
        <w:instrText xml:space="preserve"> REF _Ref158647742 \h  \* MERGEFORMAT </w:instrText>
      </w:r>
      <w:r w:rsidRPr="00340794">
        <w:rPr>
          <w:bCs/>
        </w:rPr>
      </w:r>
      <w:r w:rsidRPr="00340794">
        <w:rPr>
          <w:bCs/>
        </w:rPr>
        <w:fldChar w:fldCharType="separate"/>
      </w:r>
      <w:r w:rsidRPr="00340794">
        <w:rPr>
          <w:bCs/>
        </w:rPr>
        <w:t xml:space="preserve">Appendix Figure </w:t>
      </w:r>
      <w:r w:rsidRPr="00340794">
        <w:rPr>
          <w:bCs/>
          <w:noProof/>
        </w:rPr>
        <w:t>1</w:t>
      </w:r>
      <w:r w:rsidRPr="00340794">
        <w:rPr>
          <w:bCs/>
        </w:rPr>
        <w:fldChar w:fldCharType="end"/>
      </w:r>
      <w:r w:rsidRPr="00340794">
        <w:rPr>
          <w:bCs/>
        </w:rPr>
        <w:t>. This applies equally to °C and K; although they employ the same scale, the 273-degree shift results in a significant discrepancy, and thus, no agreement. Hence, considering the use case study aims to evaluate the agreement between manual and digital 6MWD measurements, a high correlation index (</w:t>
      </w:r>
      <w:proofErr w:type="spellStart"/>
      <w:r w:rsidRPr="00340794">
        <w:rPr>
          <w:bCs/>
        </w:rPr>
        <w:t>ρ</w:t>
      </w:r>
      <w:r w:rsidRPr="00340794">
        <w:rPr>
          <w:bCs/>
          <w:vertAlign w:val="subscript"/>
        </w:rPr>
        <w:t>s</w:t>
      </w:r>
      <w:proofErr w:type="spellEnd"/>
      <w:r w:rsidRPr="00340794">
        <w:rPr>
          <w:bCs/>
        </w:rPr>
        <w:t>) is insufficient to demonstrate the Apple Watch's accuracy. However, correlation is still an important measure to consider, as it provides a sense of the dataset before assessing for agreement.</w:t>
      </w:r>
    </w:p>
    <w:p w14:paraId="26897000" w14:textId="77777777" w:rsidR="00B540FB" w:rsidRPr="00340794" w:rsidRDefault="00B540FB" w:rsidP="00B540FB">
      <w:pPr>
        <w:rPr>
          <w:bCs/>
        </w:rPr>
      </w:pPr>
      <w:r w:rsidRPr="00340794">
        <w:rPr>
          <w:bCs/>
        </w:rPr>
        <w:t>The relationships between °C and °F and °C and K demonstrates the nuance between correlation and agreement. All variables provide measurements of the same metric, temperature, but vary according to different scales, as illustrated by the shifts of the °F (red) and K (blue) lines from the 45° (y=x) perfect agreement line (black). Hence, they are perfectly correlated (</w:t>
      </w:r>
      <w:proofErr w:type="spellStart"/>
      <w:r w:rsidRPr="00340794">
        <w:rPr>
          <w:bCs/>
        </w:rPr>
        <w:t>ρ</w:t>
      </w:r>
      <w:r w:rsidRPr="00340794">
        <w:rPr>
          <w:bCs/>
          <w:vertAlign w:val="subscript"/>
        </w:rPr>
        <w:t>s</w:t>
      </w:r>
      <w:proofErr w:type="spellEnd"/>
      <w:r w:rsidRPr="00340794">
        <w:rPr>
          <w:bCs/>
        </w:rPr>
        <w:t>=1), but do not agree, as demonstrated by the extreme CCC and MAPE values, which reflect how 1°C is very different from 1°F or 1 K in temperature.</w:t>
      </w:r>
    </w:p>
    <w:p w14:paraId="019A7803" w14:textId="77777777" w:rsidR="00B540FB" w:rsidRPr="00340794" w:rsidRDefault="00B540FB" w:rsidP="00B540FB">
      <w:pPr>
        <w:rPr>
          <w:bCs/>
        </w:rPr>
      </w:pPr>
      <w:r w:rsidRPr="00340794">
        <w:rPr>
          <w:bCs/>
        </w:rPr>
        <w:t>To extend this logic to DHT validation, comparing the measurements of a digital device with the gold standard (e.g., manual measurements) includes assessing the agreement between measurements yielded by both methods. For example, when assessing the reliability of a smartwatch in measuring walking distance, we want to know whether a smartwatch’s measured distance is equal to (i.e., agrees with) the corresponding manual measurements; hence, assessing for correlation only constitutes an incomplete methodological approach.</w:t>
      </w:r>
    </w:p>
    <w:p w14:paraId="1DFAAD8F" w14:textId="77777777" w:rsidR="00B540FB" w:rsidRPr="00340794" w:rsidRDefault="00B540FB" w:rsidP="00B540FB">
      <w:pPr>
        <w:pStyle w:val="AppendixH2"/>
        <w:rPr>
          <w:rFonts w:cs="Times New Roman"/>
          <w:b w:val="0"/>
          <w:bCs/>
        </w:rPr>
      </w:pPr>
      <w:bookmarkStart w:id="3" w:name="_Ref156649914"/>
      <w:r w:rsidRPr="00340794">
        <w:rPr>
          <w:rFonts w:cs="Times New Roman"/>
          <w:b w:val="0"/>
          <w:bCs/>
        </w:rPr>
        <w:lastRenderedPageBreak/>
        <w:t>A.3</w:t>
      </w:r>
      <w:r w:rsidRPr="00340794">
        <w:rPr>
          <w:rFonts w:cs="Times New Roman"/>
          <w:b w:val="0"/>
          <w:bCs/>
        </w:rPr>
        <w:tab/>
        <w:t>Individual-Level and Systematic-Level Reliability</w:t>
      </w:r>
      <w:bookmarkEnd w:id="3"/>
    </w:p>
    <w:p w14:paraId="34E10FB5" w14:textId="77777777" w:rsidR="00B540FB" w:rsidRPr="00340794" w:rsidRDefault="00B540FB" w:rsidP="00B540FB">
      <w:pPr>
        <w:rPr>
          <w:bCs/>
        </w:rPr>
      </w:pPr>
      <w:r w:rsidRPr="00340794">
        <w:rPr>
          <w:bCs/>
        </w:rPr>
        <w:t>Evaluating the reliability of a DHT implies assessing its fitness-for-purpose; however, given that DHTs can serve diverse purposes, the statistical methodology employed in their analytical validation must be tailored according to the context of use of the device of interest.</w:t>
      </w:r>
    </w:p>
    <w:p w14:paraId="3924600B" w14:textId="77777777" w:rsidR="00B540FB" w:rsidRPr="00340794" w:rsidRDefault="00B540FB" w:rsidP="00B540FB">
      <w:pPr>
        <w:rPr>
          <w:bCs/>
        </w:rPr>
      </w:pPr>
      <w:r w:rsidRPr="00340794">
        <w:rPr>
          <w:bCs/>
        </w:rPr>
        <w:t xml:space="preserve">Thus, we divided the metrics into two different categories, depending on whether they assess reliability on an individual or a systematic level. On one hand, individual-level reliability, assessed by CCC, ICC, and BA </w:t>
      </w:r>
      <w:proofErr w:type="spellStart"/>
      <w:r w:rsidRPr="00340794">
        <w:rPr>
          <w:bCs/>
        </w:rPr>
        <w:t>LoAs</w:t>
      </w:r>
      <w:proofErr w:type="spellEnd"/>
      <w:r w:rsidRPr="00340794">
        <w:rPr>
          <w:bCs/>
        </w:rPr>
        <w:t>, pertains to the reproducibility of measurements on an individual level, meaning how well each individual’s corresponding measurements (device vs gold standard) agree. On the other hand, systematic-level reliability, assessed through MAPE and Bland-Altman analysis focused on bias, relates to agreement within measurements at the level of the tested group as a whole.</w:t>
      </w:r>
    </w:p>
    <w:p w14:paraId="43855A8E" w14:textId="77777777" w:rsidR="00B540FB" w:rsidRPr="00340794" w:rsidRDefault="00B540FB" w:rsidP="00B540FB">
      <w:pPr>
        <w:rPr>
          <w:bCs/>
        </w:rPr>
      </w:pPr>
      <w:r w:rsidRPr="00340794">
        <w:rPr>
          <w:bCs/>
        </w:rPr>
        <w:t>Consider the following example: two different thermometers are used to measure room temperature every hour, over the course of a week. When comparing the measurements of two different thermometers to measure room temperature, a high individual-level reliability would indicate that both thermometers yield similar measurements on each individual hourly reading, whereas a high systematic-level reliability would be indicated by both thermometers yielding similar mean temperatures each day without necessarily providing identical readings every hour.</w:t>
      </w:r>
    </w:p>
    <w:p w14:paraId="6DEFBF91" w14:textId="77777777" w:rsidR="00B540FB" w:rsidRPr="00340794" w:rsidRDefault="00B540FB" w:rsidP="00B540FB">
      <w:pPr>
        <w:rPr>
          <w:bCs/>
        </w:rPr>
      </w:pPr>
      <w:r w:rsidRPr="00340794">
        <w:rPr>
          <w:bCs/>
        </w:rPr>
        <w:br w:type="page"/>
      </w:r>
    </w:p>
    <w:p w14:paraId="2195108B" w14:textId="77777777" w:rsidR="00B540FB" w:rsidRPr="00340794" w:rsidRDefault="00B540FB" w:rsidP="00340794">
      <w:pPr>
        <w:pStyle w:val="AppendixH2"/>
        <w:rPr>
          <w:b w:val="0"/>
          <w:bCs/>
        </w:rPr>
      </w:pPr>
      <w:r w:rsidRPr="00340794">
        <w:rPr>
          <w:b w:val="0"/>
          <w:bCs/>
        </w:rPr>
        <w:lastRenderedPageBreak/>
        <w:t xml:space="preserve">A.4 </w:t>
      </w:r>
      <w:commentRangeStart w:id="4"/>
      <w:r w:rsidRPr="00340794">
        <w:rPr>
          <w:b w:val="0"/>
          <w:bCs/>
        </w:rPr>
        <w:t xml:space="preserve">Regulatory Considerations </w:t>
      </w:r>
      <w:commentRangeEnd w:id="4"/>
      <w:r w:rsidRPr="00340794">
        <w:rPr>
          <w:rStyle w:val="CommentReference"/>
          <w:b w:val="0"/>
          <w:bCs/>
          <w:sz w:val="28"/>
          <w:szCs w:val="32"/>
        </w:rPr>
        <w:commentReference w:id="4"/>
      </w:r>
    </w:p>
    <w:p w14:paraId="6EA86981" w14:textId="1176641F" w:rsidR="00B540FB" w:rsidRPr="00340794" w:rsidRDefault="00B540FB" w:rsidP="00B540FB">
      <w:pPr>
        <w:rPr>
          <w:bCs/>
        </w:rPr>
      </w:pPr>
      <w:r w:rsidRPr="00340794">
        <w:rPr>
          <w:bCs/>
        </w:rPr>
        <w:t>The FDA guidance on integration of DHTs into clinical investigations serves as a crucial compass for industry professionals, investigators, and stakeholders alike, offering invaluable insights into the adept utilization of DHTs for remote data acquisition within clinical investigations.</w:t>
      </w:r>
      <w:r w:rsidRPr="00340794">
        <w:rPr>
          <w:bCs/>
        </w:rPr>
        <w:fldChar w:fldCharType="begin"/>
      </w:r>
      <w:r w:rsidR="00340794">
        <w:rPr>
          <w:bCs/>
        </w:rPr>
        <w:instrText xml:space="preserve"> ADDIN ZOTERO_ITEM CSL_CITATION {"citationID":"a2i5a1obqn3","properties":{"formattedCitation":"\\super 1\\nosupersub{}","plainCitation":"1","noteIndex":0},"citationItems":[{"id":10954,"uris":["http://zotero.org/groups/4465919/items/CHEWDUVH"],"itemData":{"id":10954,"type":"document","language":"en","title":"Digital Health Technologies for Remote Data Acquisition in Clinical Investigations Guidance for Industry, Investigators, and Other Stakeholders","author":[{"literal":"FDA"}],"issued":{"date-parts":[["2021"]]}}}],"schema":"https://github.com/citation-style-language/schema/raw/master/csl-citation.json"} </w:instrText>
      </w:r>
      <w:r w:rsidRPr="00340794">
        <w:rPr>
          <w:bCs/>
        </w:rPr>
        <w:fldChar w:fldCharType="separate"/>
      </w:r>
      <w:r w:rsidR="00340794" w:rsidRPr="00340794">
        <w:rPr>
          <w:kern w:val="0"/>
          <w:vertAlign w:val="superscript"/>
        </w:rPr>
        <w:t>1</w:t>
      </w:r>
      <w:r w:rsidRPr="00340794">
        <w:rPr>
          <w:bCs/>
        </w:rPr>
        <w:fldChar w:fldCharType="end"/>
      </w:r>
    </w:p>
    <w:p w14:paraId="4DE45EDE" w14:textId="4BFCC51C" w:rsidR="00B540FB" w:rsidRPr="00340794" w:rsidRDefault="00B540FB" w:rsidP="00B540FB">
      <w:pPr>
        <w:rPr>
          <w:bCs/>
        </w:rPr>
      </w:pPr>
      <w:r w:rsidRPr="00340794">
        <w:rPr>
          <w:bCs/>
        </w:rPr>
        <w:t>Currently, the FDA has approved 62 artificial intelligence-driven DHTs in the field of cardiology that either measure functional status or improve HF treatment trackingpatients.</w:t>
      </w:r>
      <w:r w:rsidRPr="00340794">
        <w:rPr>
          <w:bCs/>
          <w:kern w:val="0"/>
          <w:vertAlign w:val="superscript"/>
        </w:rPr>
        <w:fldChar w:fldCharType="begin"/>
      </w:r>
      <w:r w:rsidR="00340794">
        <w:rPr>
          <w:bCs/>
          <w:kern w:val="0"/>
          <w:vertAlign w:val="superscript"/>
        </w:rPr>
        <w:instrText xml:space="preserve"> ADDIN ZOTERO_ITEM CSL_CITATION {"citationID":"a445vpjc51","properties":{"formattedCitation":"\\super 2\\nosupersub{}","plainCitation":"2","noteIndex":0},"citationItems":[{"id":10947,"uris":["http://zotero.org/groups/4465919/items/GITU52YM"],"itemData":{"id":10947,"type":"article-journal","abstract":"The FDA has updated the list of AI/ML-enabled medical devices marketed in the United States as a resource to the public.","container-title":"FDA","language":"en","note":"publisher: FDA","source":"www.fda.gov","title":"Artificial Intelligence and Machine Learning (AI/ML)-Enabled Medical Devices","URL":"https://www.fda.gov/medical-devices/software-medical-device-samd/artificial-intelligence-and-machine-learning-aiml-enabled-medical-devices","author":[{"literal":"FDA"}],"accessed":{"date-parts":[["2023",10,3]]},"issued":{"date-parts":[["2022",10,5]]}}}],"schema":"https://github.com/citation-style-language/schema/raw/master/csl-citation.json"} </w:instrText>
      </w:r>
      <w:r w:rsidRPr="00340794">
        <w:rPr>
          <w:bCs/>
          <w:kern w:val="0"/>
          <w:vertAlign w:val="superscript"/>
        </w:rPr>
        <w:fldChar w:fldCharType="separate"/>
      </w:r>
      <w:r w:rsidR="00340794" w:rsidRPr="00340794">
        <w:rPr>
          <w:kern w:val="0"/>
          <w:vertAlign w:val="superscript"/>
        </w:rPr>
        <w:t>2</w:t>
      </w:r>
      <w:r w:rsidRPr="00340794">
        <w:rPr>
          <w:bCs/>
          <w:kern w:val="0"/>
          <w:vertAlign w:val="superscript"/>
        </w:rPr>
        <w:fldChar w:fldCharType="end"/>
      </w:r>
      <w:r w:rsidRPr="00340794">
        <w:rPr>
          <w:bCs/>
        </w:rPr>
        <w:t xml:space="preserve"> However, to date, there has been little systematic evaluation of actigraphy-based endpoints collected by DHT against recognized functional endpoints.</w:t>
      </w:r>
    </w:p>
    <w:p w14:paraId="4D183ECB" w14:textId="77777777" w:rsidR="00B540FB" w:rsidRPr="00340794" w:rsidRDefault="00B540FB" w:rsidP="00B540FB">
      <w:pPr>
        <w:rPr>
          <w:bCs/>
        </w:rPr>
      </w:pPr>
      <w:r w:rsidRPr="00340794">
        <w:rPr>
          <w:bCs/>
        </w:rPr>
        <w:t xml:space="preserve">The FDA's guidance emphasizes that the application of DHTs must be "fit-for-purpose," signifying that the level of validation accompanying these tools should be commensurate with their intended use and interpretability in clinical investigation. Key considerations encompass data accuracy, reliability, and security. DHTs enlisted for clinical trials must be meticulously selected, considering a range of factors, including the nature of data to be gathered, the target patient population, and any relevant regulatory prerequisites. The rationale for selecting a specific DHT and its intended use should be substantiated, thereby ensuring alignment with the study's objectives. </w:t>
      </w:r>
    </w:p>
    <w:p w14:paraId="362DCAE9" w14:textId="07862290" w:rsidR="00B540FB" w:rsidRPr="00340794" w:rsidRDefault="00B540FB" w:rsidP="00B540FB">
      <w:pPr>
        <w:rPr>
          <w:bCs/>
        </w:rPr>
      </w:pPr>
      <w:r w:rsidRPr="00340794">
        <w:rPr>
          <w:bCs/>
        </w:rPr>
        <w:t xml:space="preserve">Clinical endpoints must be rigorously justified and precisely defined, encompassing the timing and tools employed for assessments. DHTs may replace established functional endpoints, necessitating validation to guarantee data reliability. The statistical methodologies used for analyzing data collected via DHTs should be clearly and pre-emptively defined, with consideration given to potential intercurrent events that may impact data integrity. </w:t>
      </w:r>
    </w:p>
    <w:p w14:paraId="15CE2C55" w14:textId="7259CE0E" w:rsidR="00B540FB" w:rsidRPr="00340794" w:rsidRDefault="00B540FB" w:rsidP="00B540FB">
      <w:pPr>
        <w:rPr>
          <w:bCs/>
        </w:rPr>
      </w:pPr>
      <w:r w:rsidRPr="00340794">
        <w:rPr>
          <w:bCs/>
        </w:rPr>
        <w:t>The rise of decentralized clinical trials (DCTs) heralds a transformative shift in clinical trial methodology. One such trial on SGLT2 inhibitors in HF highlights the importance of DCTs in novel therapies.</w:t>
      </w:r>
      <w:r w:rsidRPr="00340794">
        <w:rPr>
          <w:bCs/>
        </w:rPr>
        <w:fldChar w:fldCharType="begin"/>
      </w:r>
      <w:r w:rsidR="00340794">
        <w:rPr>
          <w:bCs/>
        </w:rPr>
        <w:instrText xml:space="preserve"> ADDIN ZOTERO_ITEM CSL_CITATION {"citationID":"a1l2b1khl8i","properties":{"formattedCitation":"\\super 3,4\\nosupersub{}","plainCitation":"3,4","noteIndex":0},"citationItems":[{"id":11639,"uris":["http://zotero.org/groups/4465919/items/FH5JNC62"],"itemData":{"id":11639,"type":"article-journal","abstract":"BACKGROUND: The expense of clinical trials mandates new strategies to efficiently generate evidence and test novel therapies. In this context, we designed a decentralized, patient-centered randomized clinical trial leveraging mobile technologies, rather than in-person site visits, to test the efficacy of 12 weeks of canagliflozin for the treatment of heart failure, regardless of ejection fraction or diabetes status, on the reduction of heart failure symptoms.\nMETHODS: One thousand nine hundred patients will be enrolled with a medical record-confirmed diagnosis of heart failure, stratified by reduced (≤40%) or preserved (&gt;40%) ejection fraction and randomized 1:1 to 100 mg daily of canagliflozin or matching placebo. The primary outcome will be the 12-week change in the total symptom score of the Kansas City Cardiomyopathy Questionnaire. Secondary outcomes will be daily step count and other scales of the Kansas City Cardiomyopathy Questionnaire.\nRESULTS: The trial is currently enrolling, even in the era of the coronavirus disease 2019 (COVID-19) pandemic.\nCONCLUSIONS: CHIEF-HF (Canagliflozin: Impact on Health Status, Quality of Life and Functional Status in Heart Failure) is deploying a novel model of conducting a decentralized, patient-centered, randomized clinical trial for a new indication for canagliflozin to improve the symptoms of patients with heart failure. It can model a new method for more cost-effectively testing the efficacy of treatments using mobile technologies with patient-reported outcomes as the primary clinical end point of the trial. Registration: URL: https://www.clinicaltrials.gov; Unique identifier: NCT04252287.","container-title":"Circulation. Heart Failure","DOI":"10.1161/CIRCHEARTFAILURE.120.007767","ISSN":"1941-3297","issue":"3","journalAbbreviation":"Circ Heart Fail","language":"eng","note":"PMID: 33724883\nPMCID: PMC7982129","page":"e007767","source":"PubMed","title":"Novel Trial Design: CHIEF-HF","title-short":"Novel Trial Design","volume":"14","author":[{"family":"Spertus","given":"John A."},{"family":"Birmingham","given":"Mary C."},{"family":"Butler","given":"Javed"},{"family":"Lingvay","given":"Ildiko"},{"family":"Lanfear","given":"David E."},{"family":"Abbate","given":"Antonio"},{"family":"Kosiborod","given":"Mikhail L."},{"family":"Fawcett","given":"Christina"},{"family":"Burton","given":"Paul"},{"family":"Damaraju","given":"C. V."},{"family":"Januzzi","given":"James L."},{"family":"Whang","given":"John"}],"issued":{"date-parts":[["2021",3]]}}},{"id":11915,"uris":["http://zotero.org/groups/4465919/items/ZVCJVJY9"],"itemData":{"id":11915,"type":"article-journal","abstract":"Large traditional clinical trials suggest that sodium-glucose co-transporter 2 inhibitors improve symptoms in patients with heart failure and reduced ejection fraction (HFrEF) and in patients with heart failure and preserved ejection fraction (HFpEF). In the midst of the Coronavirus Disease 2019 pandemic, we sought to confirm these benefits in a new type of trial that was patient centered and conducted in a completely remote fashion. In the CHIEF-HF trial ( NCT04252287 ), 476 participants with HF, regardless of EF or diabetes status, were randomized to 100 mg of canagliflozin or placebo. Enrollment was stopped early due to shifting sponsor priorities, without unblinding. The primary outcome was change in the Kansas City Cardiomyopathy Questionnaire Total Symptom Score (KCCQ TSS) at 12 weeks. The 12-week change in KCCQ TSS was 4.3 points (95% confidence interval, 0.8-7.8; P = 0.016) higher with canagliflozin than with placebo, meeting the primary endpoint. Similar effects were observed in participants with HFpEF and in those with HFrEF and in participants with and without diabetes, demonstrating that canagliflozin significantly improves symptom burden in HF, regardless of EF or diabetes status. This randomized, double-blind trial, conducted without in-person interactions between doctor and patient, can serve as a model for future all-virtual clinical trials.","container-title":"Nature Medicine","DOI":"10.1038/s41591-022-01703-8","ISSN":"1546-170X","issue":"4","journalAbbreviation":"Nat Med","language":"eng","note":"PMID: 35228753\nPMCID: PMC9018422","page":"809-813","source":"PubMed","title":"The SGLT2 inhibitor canagliflozin in heart failure: the CHIEF-HF remote, patient-centered randomized trial","title-short":"The SGLT2 inhibitor canagliflozin in heart failure","volume":"28","author":[{"family":"Spertus","given":"John A."},{"family":"Birmingham","given":"Mary C."},{"family":"Nassif","given":"Michael"},{"family":"Damaraju","given":"C. V."},{"family":"Abbate","given":"Antonio"},{"family":"Butler","given":"Javed"},{"family":"Lanfear","given":"David E."},{"family":"Lingvay","given":"Ildiko"},{"family":"Kosiborod","given":"Mikhail N."},{"family":"Januzzi","given":"James L."}],"issued":{"date-parts":[["2022",4]]}}}],"schema":"https://github.com/citation-style-language/schema/raw/master/csl-citation.json"} </w:instrText>
      </w:r>
      <w:r w:rsidRPr="00340794">
        <w:rPr>
          <w:bCs/>
        </w:rPr>
        <w:fldChar w:fldCharType="separate"/>
      </w:r>
      <w:r w:rsidR="00340794" w:rsidRPr="00340794">
        <w:rPr>
          <w:kern w:val="0"/>
          <w:vertAlign w:val="superscript"/>
        </w:rPr>
        <w:t>3,4</w:t>
      </w:r>
      <w:r w:rsidRPr="00340794">
        <w:rPr>
          <w:bCs/>
        </w:rPr>
        <w:fldChar w:fldCharType="end"/>
      </w:r>
      <w:r w:rsidRPr="00340794">
        <w:rPr>
          <w:bCs/>
        </w:rPr>
        <w:t xml:space="preserve"> These trials empower participants to receive treatments, undergo assessments, and provide data from the comfort of their homes or local healthcare facilities. The use of DHTs in DCTs offers several advantages, including increased patient access, enhanced convenience, personalized engagement, efficient data collection, and cost reduction.</w:t>
      </w:r>
    </w:p>
    <w:p w14:paraId="21876AA2" w14:textId="77777777" w:rsidR="00B540FB" w:rsidRPr="00340794" w:rsidRDefault="00B540FB" w:rsidP="00B540FB">
      <w:pPr>
        <w:rPr>
          <w:bCs/>
        </w:rPr>
      </w:pPr>
      <w:r w:rsidRPr="00340794">
        <w:rPr>
          <w:bCs/>
        </w:rPr>
        <w:lastRenderedPageBreak/>
        <w:t xml:space="preserve">Despite the evident benefits of DCTs, adherence to applicable regulations and guidelines remains paramount. Study design, patient recruitment, data collection, monitoring, and ethical considerations must align with regulatory standards to safeguard human subjects, ensure patient safety, and maintain data quality while upholding regulatory compliance in clinical trials. A summary of the interpretation and considerations are given in Appendix Figure 2. </w:t>
      </w:r>
    </w:p>
    <w:p w14:paraId="5DFD0550" w14:textId="77777777" w:rsidR="00B66C27" w:rsidRPr="00340794" w:rsidRDefault="00B66C27">
      <w:pPr>
        <w:spacing w:before="0" w:beforeAutospacing="0" w:after="160" w:afterAutospacing="0" w:line="278" w:lineRule="auto"/>
        <w:jc w:val="left"/>
        <w:rPr>
          <w:rStyle w:val="Strong"/>
          <w:rFonts w:eastAsiaTheme="majorEastAsia"/>
          <w:bCs/>
          <w:color w:val="0F4761" w:themeColor="accent1" w:themeShade="BF"/>
          <w:sz w:val="28"/>
          <w:szCs w:val="32"/>
        </w:rPr>
      </w:pPr>
      <w:r w:rsidRPr="00340794">
        <w:rPr>
          <w:rStyle w:val="Strong"/>
          <w:bCs/>
        </w:rPr>
        <w:br w:type="page"/>
      </w:r>
    </w:p>
    <w:p w14:paraId="631293B4" w14:textId="61D5B13B" w:rsidR="00B540FB" w:rsidRPr="00340794" w:rsidRDefault="00B540FB" w:rsidP="00B66C27">
      <w:pPr>
        <w:pStyle w:val="AppendixH1"/>
        <w:rPr>
          <w:rStyle w:val="Strong"/>
          <w:rFonts w:cs="Times New Roman"/>
          <w:b w:val="0"/>
          <w:bCs/>
        </w:rPr>
      </w:pPr>
      <w:r w:rsidRPr="00340794">
        <w:rPr>
          <w:rStyle w:val="Strong"/>
          <w:rFonts w:cs="Times New Roman"/>
          <w:b w:val="0"/>
          <w:bCs/>
        </w:rPr>
        <w:lastRenderedPageBreak/>
        <w:t>Appendix B: Computation and Interpretation of the Relevant Metrics</w:t>
      </w:r>
    </w:p>
    <w:p w14:paraId="5AB94BD6" w14:textId="77777777" w:rsidR="00B540FB" w:rsidRPr="00340794" w:rsidRDefault="00B540FB" w:rsidP="00B540FB">
      <w:pPr>
        <w:pStyle w:val="AppendixH2"/>
        <w:rPr>
          <w:rFonts w:cs="Times New Roman"/>
          <w:b w:val="0"/>
          <w:bCs/>
        </w:rPr>
      </w:pPr>
      <w:bookmarkStart w:id="5" w:name="_Ref156650322"/>
      <w:r w:rsidRPr="00340794">
        <w:rPr>
          <w:rFonts w:cs="Times New Roman"/>
          <w:b w:val="0"/>
          <w:bCs/>
        </w:rPr>
        <w:t>B.1</w:t>
      </w:r>
      <w:r w:rsidRPr="00340794">
        <w:rPr>
          <w:rFonts w:cs="Times New Roman"/>
          <w:b w:val="0"/>
          <w:bCs/>
        </w:rPr>
        <w:tab/>
        <w:t>Computing the Relevant Metrics</w:t>
      </w:r>
      <w:bookmarkEnd w:id="5"/>
    </w:p>
    <w:p w14:paraId="119F3CB8" w14:textId="77777777" w:rsidR="00B540FB" w:rsidRPr="00340794" w:rsidRDefault="00B540FB" w:rsidP="00B540FB">
      <w:pPr>
        <w:rPr>
          <w:bCs/>
        </w:rPr>
      </w:pPr>
      <w:r w:rsidRPr="00340794">
        <w:rPr>
          <w:bCs/>
        </w:rPr>
        <w:t xml:space="preserve">The description of the relevant reliability coefficients and metrics mentioned in the framework, as well as the formulas used to compute these metrics, are outlined in </w:t>
      </w:r>
      <w:r w:rsidRPr="00340794">
        <w:rPr>
          <w:bCs/>
        </w:rPr>
        <w:fldChar w:fldCharType="begin"/>
      </w:r>
      <w:r w:rsidRPr="00340794">
        <w:rPr>
          <w:bCs/>
        </w:rPr>
        <w:instrText xml:space="preserve"> REF _Ref158647462 \h  \* MERGEFORMAT </w:instrText>
      </w:r>
      <w:r w:rsidRPr="00340794">
        <w:rPr>
          <w:bCs/>
        </w:rPr>
      </w:r>
      <w:r w:rsidRPr="00340794">
        <w:rPr>
          <w:bCs/>
        </w:rPr>
        <w:fldChar w:fldCharType="separate"/>
      </w:r>
      <w:r w:rsidRPr="00340794">
        <w:rPr>
          <w:bCs/>
        </w:rPr>
        <w:t xml:space="preserve">Appendix Table </w:t>
      </w:r>
      <w:r w:rsidRPr="00340794">
        <w:rPr>
          <w:bCs/>
          <w:noProof/>
        </w:rPr>
        <w:t>1</w:t>
      </w:r>
      <w:r w:rsidRPr="00340794">
        <w:rPr>
          <w:bCs/>
        </w:rPr>
        <w:fldChar w:fldCharType="end"/>
      </w:r>
      <w:r w:rsidRPr="00340794">
        <w:rPr>
          <w:bCs/>
        </w:rPr>
        <w:t xml:space="preserve"> and </w:t>
      </w:r>
      <w:r w:rsidRPr="00340794">
        <w:rPr>
          <w:bCs/>
        </w:rPr>
        <w:fldChar w:fldCharType="begin"/>
      </w:r>
      <w:r w:rsidRPr="00340794">
        <w:rPr>
          <w:bCs/>
        </w:rPr>
        <w:instrText xml:space="preserve"> REF _Ref158647442 \h  \* MERGEFORMAT </w:instrText>
      </w:r>
      <w:r w:rsidRPr="00340794">
        <w:rPr>
          <w:bCs/>
        </w:rPr>
      </w:r>
      <w:r w:rsidRPr="00340794">
        <w:rPr>
          <w:bCs/>
        </w:rPr>
        <w:fldChar w:fldCharType="separate"/>
      </w:r>
      <w:r w:rsidRPr="00340794">
        <w:rPr>
          <w:bCs/>
        </w:rPr>
        <w:t>Appendix</w:t>
      </w:r>
      <w:r w:rsidRPr="00340794">
        <w:rPr>
          <w:bCs/>
          <w:noProof/>
        </w:rPr>
        <w:t xml:space="preserve"> </w:t>
      </w:r>
      <w:r w:rsidRPr="00340794">
        <w:rPr>
          <w:bCs/>
        </w:rPr>
        <w:t xml:space="preserve">Table </w:t>
      </w:r>
      <w:r w:rsidRPr="00340794">
        <w:rPr>
          <w:bCs/>
          <w:noProof/>
        </w:rPr>
        <w:t>2</w:t>
      </w:r>
      <w:r w:rsidRPr="00340794">
        <w:rPr>
          <w:bCs/>
        </w:rPr>
        <w:fldChar w:fldCharType="end"/>
      </w:r>
      <w:r w:rsidRPr="00340794">
        <w:rPr>
          <w:bCs/>
        </w:rPr>
        <w:t>, respectively</w:t>
      </w:r>
      <w:bookmarkStart w:id="6" w:name="_Ref152074791"/>
      <w:bookmarkStart w:id="7" w:name="_Ref152074786"/>
      <w:r w:rsidRPr="00340794">
        <w:rPr>
          <w:bCs/>
        </w:rPr>
        <w:t xml:space="preserve">. As illustrated in </w:t>
      </w:r>
      <w:r w:rsidRPr="00340794">
        <w:rPr>
          <w:bCs/>
        </w:rPr>
        <w:fldChar w:fldCharType="begin"/>
      </w:r>
      <w:r w:rsidRPr="00340794">
        <w:rPr>
          <w:bCs/>
        </w:rPr>
        <w:instrText xml:space="preserve"> REF _Ref158647462 \h  \* MERGEFORMAT </w:instrText>
      </w:r>
      <w:r w:rsidRPr="00340794">
        <w:rPr>
          <w:bCs/>
        </w:rPr>
      </w:r>
      <w:r w:rsidRPr="00340794">
        <w:rPr>
          <w:bCs/>
        </w:rPr>
        <w:fldChar w:fldCharType="separate"/>
      </w:r>
      <w:r w:rsidRPr="00340794">
        <w:rPr>
          <w:bCs/>
        </w:rPr>
        <w:t xml:space="preserve">Appendix Table </w:t>
      </w:r>
      <w:r w:rsidRPr="00340794">
        <w:rPr>
          <w:bCs/>
          <w:noProof/>
        </w:rPr>
        <w:t>1</w:t>
      </w:r>
      <w:r w:rsidRPr="00340794">
        <w:rPr>
          <w:bCs/>
        </w:rPr>
        <w:fldChar w:fldCharType="end"/>
      </w:r>
      <w:r w:rsidRPr="00340794">
        <w:rPr>
          <w:bCs/>
        </w:rPr>
        <w:t>, we divided the metrics into two different categories: individual reliability and systematic reliability-testing metrics. Individual-level reliability pertains to the reproducibility of measurements on an individual level, whereas systematic-level reliability relates to agreement in measurements at the level of the tested group as a whole. The distinction between individual and systematic-level reliability is described in Appendix A.4.</w:t>
      </w:r>
      <w:bookmarkEnd w:id="6"/>
      <w:bookmarkEnd w:id="7"/>
      <w:r w:rsidRPr="00340794">
        <w:rPr>
          <w:bCs/>
        </w:rPr>
        <w:t xml:space="preserve"> As there are 10 different ways to compute the ICC, its formula selection process is described below.</w:t>
      </w:r>
      <w:bookmarkStart w:id="8" w:name="_Ref152068162"/>
    </w:p>
    <w:p w14:paraId="24E90882" w14:textId="77777777" w:rsidR="00B540FB" w:rsidRPr="00340794" w:rsidRDefault="00B540FB" w:rsidP="00B540FB">
      <w:pPr>
        <w:pStyle w:val="AppendixH2"/>
        <w:rPr>
          <w:rFonts w:cs="Times New Roman"/>
          <w:b w:val="0"/>
          <w:bCs/>
        </w:rPr>
      </w:pPr>
      <w:bookmarkStart w:id="9" w:name="_Ref152076946"/>
      <w:r w:rsidRPr="00340794">
        <w:rPr>
          <w:rFonts w:cs="Times New Roman"/>
          <w:b w:val="0"/>
          <w:bCs/>
        </w:rPr>
        <w:t>B.2</w:t>
      </w:r>
      <w:r w:rsidRPr="00340794">
        <w:rPr>
          <w:rFonts w:cs="Times New Roman"/>
          <w:b w:val="0"/>
          <w:bCs/>
        </w:rPr>
        <w:tab/>
        <w:t>ICC Formula Selection</w:t>
      </w:r>
      <w:bookmarkEnd w:id="8"/>
      <w:bookmarkEnd w:id="9"/>
    </w:p>
    <w:p w14:paraId="1AF81668" w14:textId="77777777" w:rsidR="00B540FB" w:rsidRPr="00340794" w:rsidRDefault="00B540FB" w:rsidP="00B540FB">
      <w:pPr>
        <w:rPr>
          <w:bCs/>
        </w:rPr>
      </w:pPr>
      <w:r w:rsidRPr="00340794">
        <w:rPr>
          <w:bCs/>
        </w:rPr>
        <w:t>There are 10 different ways to compute the ICC, and selection of the appropriate formula depends on the study design. ICC formula selection is a three-step process, consisting of model, type, and definition selection.</w:t>
      </w:r>
    </w:p>
    <w:p w14:paraId="3A804995" w14:textId="77777777" w:rsidR="00B540FB" w:rsidRPr="00340794" w:rsidRDefault="00B540FB" w:rsidP="00B540FB">
      <w:pPr>
        <w:rPr>
          <w:bCs/>
        </w:rPr>
      </w:pPr>
      <w:r w:rsidRPr="00340794">
        <w:rPr>
          <w:bCs/>
        </w:rPr>
        <w:t>First, model selection pertains to the measurement methods and consists of choosing between three options. A one-way random effects model is used in a study involving multiple different devices randomly assigned to participants (e.g., some participants wearing the Apple Watch, other wearing the Fitbit, all compared to the manual gold standard). A two-way random-effects model is indicated when the aim is to generalize the results to all devices similar to the investigated one (e.g., using an Apple Watch in a study assessing the reliability of commercial smartwatches in general in measuring walking distance). In contrast, a two-way mixed-effects model should be selected when the devices used in the study are the only devices of interest (e.g., using an Apple Watch in a study specifically assessing its reliability in measuring walking distance).</w:t>
      </w:r>
    </w:p>
    <w:p w14:paraId="66939CA3" w14:textId="77777777" w:rsidR="00B540FB" w:rsidRPr="00340794" w:rsidRDefault="00B540FB" w:rsidP="00B540FB">
      <w:pPr>
        <w:rPr>
          <w:bCs/>
          <w:i/>
        </w:rPr>
      </w:pPr>
      <w:r w:rsidRPr="00340794">
        <w:rPr>
          <w:bCs/>
        </w:rPr>
        <w:t xml:space="preserve">After selecting the model, the next step is choosing between two types of ICC: single rater and multiple raters. The single rater method consists of comparing the investigated device’s measurements to a single criterion method (e.g., comparing smartwatch measurements to a manual </w:t>
      </w:r>
      <w:r w:rsidRPr="00340794">
        <w:rPr>
          <w:bCs/>
        </w:rPr>
        <w:lastRenderedPageBreak/>
        <w:t>gold standard), while the multiple raters method consists of comparing the device’s measurements to the mean of multiple raters, or methods of measurements (e.g., investigating the Apple Watch, Fitbit, and Withings Go watches and comparing the Apple Watch to the mean of measurements of all watches).</w:t>
      </w:r>
      <w:r w:rsidRPr="00340794">
        <w:rPr>
          <w:bCs/>
          <w:i/>
        </w:rPr>
        <w:t xml:space="preserve"> </w:t>
      </w:r>
    </w:p>
    <w:p w14:paraId="47ED0C4E" w14:textId="77777777" w:rsidR="00B540FB" w:rsidRPr="00340794" w:rsidRDefault="00B540FB" w:rsidP="00B540FB">
      <w:pPr>
        <w:rPr>
          <w:bCs/>
        </w:rPr>
      </w:pPr>
      <w:r w:rsidRPr="00340794">
        <w:rPr>
          <w:bCs/>
        </w:rPr>
        <w:t>The final step consists of selecting the relevant ICC definition. The absolute agreement ICC tests for perfect agreement between corresponding measurements of different methods (i.e., y = x), whereas the consistency ICC is used to assess the consistency of the systematic bias between methods (i.e., y = x + c, where c is the bias).</w:t>
      </w:r>
    </w:p>
    <w:p w14:paraId="6BFDE62C" w14:textId="77777777" w:rsidR="00B540FB" w:rsidRPr="00340794" w:rsidRDefault="00B540FB" w:rsidP="00B540FB">
      <w:pPr>
        <w:rPr>
          <w:bCs/>
        </w:rPr>
      </w:pPr>
      <w:r w:rsidRPr="00340794">
        <w:rPr>
          <w:bCs/>
        </w:rPr>
        <w:t>The consistency ICC is a useful metric in cases of unsatisfactory agreement but constant systematic bias (e.g., a constant overestimation of ≈25m in smartwatch walking distance measurements) to quantify the consistency of the error between measurements.</w:t>
      </w:r>
    </w:p>
    <w:p w14:paraId="06741E06" w14:textId="0E5D5CD8" w:rsidR="00B540FB" w:rsidRPr="00340794" w:rsidRDefault="00B540FB" w:rsidP="00B540FB">
      <w:pPr>
        <w:rPr>
          <w:bCs/>
        </w:rPr>
      </w:pPr>
      <w:r w:rsidRPr="00340794">
        <w:rPr>
          <w:bCs/>
        </w:rPr>
        <w:t>Of note, although the ICC is recommended for quantification of correlation and agreement between three or more devices or measurement methods, it can still be used to compare two methods of measurements. ICC and CCC usually have similar values when only 2 raters are present in the dataset.</w:t>
      </w:r>
      <w:r w:rsidRPr="00340794">
        <w:rPr>
          <w:bCs/>
        </w:rPr>
        <w:fldChar w:fldCharType="begin"/>
      </w:r>
      <w:r w:rsidR="00340794">
        <w:rPr>
          <w:bCs/>
        </w:rPr>
        <w:instrText xml:space="preserve"> ADDIN ZOTERO_ITEM CSL_CITATION {"citationID":"a1ad4uds9u7","properties":{"formattedCitation":"\\super 5\\nosupersub{}","plainCitation":"5","noteIndex":0},"citationItems":[{"id":11930,"uris":["http://zotero.org/groups/4465919/items/YTWZ2ZYW"],"itemData":{"id":11930,"type":"article-journal","abstract":"The intraclass correlation coefficient (ICC) has been traditionally used for assessing reliability between multiple observers for data with or without replications. Definitions of different versions of ICCs depend on the assumptions of specific ANOVA models. The parameter estimator for the ICC is usually based on the method of moments with the underlying assumed ANOVA model. This estimator is consistent only if the ANOVA model assumptions hold. Often these ANOVA assumptions are not met in practice and researchers may compute these estimates without verifying the assumptions. ICC is biased if the ANOVA assumptions are not met. We compute the expected value of the ICC estimator under a very general model to get a sense of the population parameter that the ICC estimator provides. We compare this expected value to another popular agreement index, concordance correlation coefficient (CCC), which is defined without ANOVA assumptions. The main findings are reported for data without replication and with replications for three types of ICCs defined by one-way ANOVA model, two-way ANOVA model without interaction and two-way ANOVA model with interaction. A blood pressure example is used for illustration. If the ICC is the choice of agreement index, we recommend to use ICC3 over other ICCs as its estimate is similar to the estimate of CCC regardless whether the ANOVA assumptions are met or not.","container-title":"Computational Statistics &amp; Data Analysis","DOI":"10.1016/j.csda.2008.09.026","ISSN":"0167-9473","issue":"2","journalAbbreviation":"Computational Statistics &amp; Data Analysis","page":"554-564","source":"ScienceDirect","title":"Comparison of ICC and CCC for assessing agreement for data without and with replications","volume":"53","author":[{"family":"Chen","given":"Chia-Cheng"},{"family":"Barnhart","given":"Huiman X."}],"issued":{"date-parts":[["2008",12,15]]}}}],"schema":"https://github.com/citation-style-language/schema/raw/master/csl-citation.json"} </w:instrText>
      </w:r>
      <w:r w:rsidRPr="00340794">
        <w:rPr>
          <w:bCs/>
        </w:rPr>
        <w:fldChar w:fldCharType="separate"/>
      </w:r>
      <w:r w:rsidR="00340794" w:rsidRPr="00340794">
        <w:rPr>
          <w:kern w:val="0"/>
          <w:vertAlign w:val="superscript"/>
        </w:rPr>
        <w:t>5</w:t>
      </w:r>
      <w:r w:rsidRPr="00340794">
        <w:rPr>
          <w:bCs/>
        </w:rPr>
        <w:fldChar w:fldCharType="end"/>
      </w:r>
      <w:r w:rsidRPr="00340794">
        <w:rPr>
          <w:bCs/>
        </w:rPr>
        <w:t xml:space="preserve"> Besides, the ICC can be used to measure repeatability using the Spearman-Brown formula, paired with Bland-Altman analysis conducted with the mean of measurements throughout time (e.g. repeating digital 6MWD measurements daily, computing the mean of all measurements and comparing it to the original mean of one-day measurements)</w:t>
      </w:r>
      <w:r w:rsidRPr="00340794">
        <w:rPr>
          <w:bCs/>
          <w:kern w:val="0"/>
          <w:vertAlign w:val="superscript"/>
        </w:rPr>
        <w:t xml:space="preserve"> </w:t>
      </w:r>
      <w:r w:rsidRPr="00340794">
        <w:rPr>
          <w:bCs/>
        </w:rPr>
        <w:fldChar w:fldCharType="begin"/>
      </w:r>
      <w:r w:rsidRPr="00340794">
        <w:rPr>
          <w:bCs/>
          <w:kern w:val="0"/>
          <w:vertAlign w:val="superscript"/>
        </w:rPr>
        <w:instrText xml:space="preserve"> REF _Ref158647442 \h </w:instrText>
      </w:r>
      <w:r w:rsidRPr="00340794">
        <w:rPr>
          <w:bCs/>
        </w:rPr>
        <w:instrText xml:space="preserve"> \* MERGEFORMAT </w:instrText>
      </w:r>
      <w:r w:rsidRPr="00340794">
        <w:rPr>
          <w:bCs/>
        </w:rPr>
      </w:r>
      <w:r w:rsidRPr="00340794">
        <w:rPr>
          <w:bCs/>
        </w:rPr>
        <w:fldChar w:fldCharType="separate"/>
      </w:r>
    </w:p>
    <w:p w14:paraId="2FB07F5B" w14:textId="77777777" w:rsidR="00B540FB" w:rsidRPr="00340794" w:rsidRDefault="00B540FB" w:rsidP="00B540FB">
      <w:pPr>
        <w:rPr>
          <w:bCs/>
        </w:rPr>
      </w:pPr>
      <w:r w:rsidRPr="00340794">
        <w:rPr>
          <w:bCs/>
        </w:rPr>
        <w:br w:type="page"/>
      </w:r>
    </w:p>
    <w:p w14:paraId="2112A239" w14:textId="77777777" w:rsidR="00B540FB" w:rsidRPr="00340794" w:rsidRDefault="00B540FB" w:rsidP="00B540FB">
      <w:pPr>
        <w:rPr>
          <w:bCs/>
        </w:rPr>
      </w:pPr>
      <w:r w:rsidRPr="00340794">
        <w:rPr>
          <w:bCs/>
        </w:rPr>
        <w:lastRenderedPageBreak/>
        <w:t>Appendix</w:t>
      </w:r>
      <w:r w:rsidRPr="00340794">
        <w:rPr>
          <w:bCs/>
          <w:noProof/>
        </w:rPr>
        <w:t xml:space="preserve"> </w:t>
      </w:r>
      <w:r w:rsidRPr="00340794">
        <w:rPr>
          <w:bCs/>
        </w:rPr>
        <w:t xml:space="preserve">Table </w:t>
      </w:r>
      <w:r w:rsidRPr="00340794">
        <w:rPr>
          <w:bCs/>
          <w:noProof/>
        </w:rPr>
        <w:t>2</w:t>
      </w:r>
      <w:r w:rsidRPr="00340794">
        <w:rPr>
          <w:bCs/>
        </w:rPr>
        <w:fldChar w:fldCharType="end"/>
      </w:r>
      <w:r w:rsidRPr="00340794">
        <w:rPr>
          <w:bCs/>
        </w:rPr>
        <w:t xml:space="preserve"> provides the appropriate formula for each combination of the three components of ICC selection.</w:t>
      </w:r>
    </w:p>
    <w:p w14:paraId="62E62837" w14:textId="77777777" w:rsidR="00B540FB" w:rsidRPr="00340794" w:rsidRDefault="00B540FB" w:rsidP="00B540FB">
      <w:pPr>
        <w:pStyle w:val="AppendixH2"/>
        <w:rPr>
          <w:rFonts w:cs="Times New Roman"/>
          <w:b w:val="0"/>
          <w:bCs/>
        </w:rPr>
      </w:pPr>
      <w:bookmarkStart w:id="10" w:name="_Ref152072054"/>
      <w:r w:rsidRPr="00340794">
        <w:rPr>
          <w:rFonts w:cs="Times New Roman"/>
          <w:b w:val="0"/>
          <w:bCs/>
        </w:rPr>
        <w:t>B.3</w:t>
      </w:r>
      <w:r w:rsidRPr="00340794">
        <w:rPr>
          <w:rFonts w:cs="Times New Roman"/>
          <w:b w:val="0"/>
          <w:bCs/>
        </w:rPr>
        <w:tab/>
        <w:t>Interpretation of Metrics</w:t>
      </w:r>
      <w:bookmarkEnd w:id="10"/>
    </w:p>
    <w:p w14:paraId="0145C162" w14:textId="2AA174F7" w:rsidR="00340794" w:rsidRDefault="00340794" w:rsidP="00340794">
      <w:pPr>
        <w:rPr>
          <w:bCs/>
        </w:rPr>
      </w:pPr>
      <w:r>
        <w:rPr>
          <w:bCs/>
        </w:rPr>
        <w:t>We</w:t>
      </w:r>
      <w:r w:rsidR="00B540FB" w:rsidRPr="00340794">
        <w:rPr>
          <w:bCs/>
        </w:rPr>
        <w:t xml:space="preserve"> propose a guideline to interpret the results of the computed metrics in </w:t>
      </w:r>
      <w:r w:rsidR="00B540FB" w:rsidRPr="00340794">
        <w:rPr>
          <w:bCs/>
        </w:rPr>
        <w:fldChar w:fldCharType="begin"/>
      </w:r>
      <w:r w:rsidR="00B540FB" w:rsidRPr="00340794">
        <w:rPr>
          <w:bCs/>
        </w:rPr>
        <w:instrText xml:space="preserve"> REF _Ref158647512 \h  \* MERGEFORMAT </w:instrText>
      </w:r>
      <w:r w:rsidR="00B540FB" w:rsidRPr="00340794">
        <w:rPr>
          <w:bCs/>
        </w:rPr>
      </w:r>
      <w:r w:rsidR="00B540FB" w:rsidRPr="00340794">
        <w:rPr>
          <w:bCs/>
        </w:rPr>
        <w:fldChar w:fldCharType="separate"/>
      </w:r>
      <w:r w:rsidR="00B540FB" w:rsidRPr="00340794">
        <w:rPr>
          <w:bCs/>
        </w:rPr>
        <w:t>Appendix Table 4</w:t>
      </w:r>
      <w:r w:rsidR="00B540FB" w:rsidRPr="00340794">
        <w:rPr>
          <w:bCs/>
        </w:rPr>
        <w:fldChar w:fldCharType="end"/>
      </w:r>
      <w:r w:rsidR="00B540FB" w:rsidRPr="00340794">
        <w:rPr>
          <w:bCs/>
        </w:rPr>
        <w:t>.</w:t>
      </w:r>
      <w:bookmarkStart w:id="11" w:name="_Ref153800162"/>
    </w:p>
    <w:p w14:paraId="0F10E374" w14:textId="77777777" w:rsidR="00340794" w:rsidRDefault="00340794">
      <w:pPr>
        <w:spacing w:before="0" w:beforeAutospacing="0" w:after="160" w:afterAutospacing="0" w:line="278" w:lineRule="auto"/>
        <w:jc w:val="left"/>
        <w:rPr>
          <w:bCs/>
        </w:rPr>
      </w:pPr>
      <w:r>
        <w:rPr>
          <w:bCs/>
        </w:rPr>
        <w:br w:type="page"/>
      </w:r>
    </w:p>
    <w:p w14:paraId="6C1877E8" w14:textId="77777777" w:rsidR="00B540FB" w:rsidRPr="00340794" w:rsidRDefault="00B540FB" w:rsidP="00B540FB">
      <w:pPr>
        <w:pStyle w:val="AppendixH1"/>
        <w:rPr>
          <w:rFonts w:cs="Times New Roman"/>
          <w:b w:val="0"/>
          <w:bCs/>
        </w:rPr>
      </w:pPr>
      <w:r w:rsidRPr="00340794">
        <w:rPr>
          <w:rFonts w:cs="Times New Roman"/>
          <w:b w:val="0"/>
          <w:bCs/>
        </w:rPr>
        <w:lastRenderedPageBreak/>
        <w:t>Appendix C: Use Case Dataset</w:t>
      </w:r>
      <w:bookmarkEnd w:id="11"/>
      <w:r w:rsidRPr="00340794">
        <w:rPr>
          <w:rFonts w:cs="Times New Roman"/>
          <w:b w:val="0"/>
          <w:bCs/>
        </w:rPr>
        <w:t xml:space="preserve"> and Discussion</w:t>
      </w:r>
    </w:p>
    <w:p w14:paraId="01BCFF0A" w14:textId="77777777" w:rsidR="00B540FB" w:rsidRPr="00340794" w:rsidRDefault="00B540FB" w:rsidP="00B66C27">
      <w:pPr>
        <w:pStyle w:val="AppendixH2"/>
        <w:rPr>
          <w:b w:val="0"/>
          <w:bCs/>
        </w:rPr>
      </w:pPr>
      <w:bookmarkStart w:id="12" w:name="_Ref156650472"/>
      <w:r w:rsidRPr="00340794">
        <w:rPr>
          <w:b w:val="0"/>
          <w:bCs/>
        </w:rPr>
        <w:t>C.1</w:t>
      </w:r>
      <w:r w:rsidRPr="00340794">
        <w:rPr>
          <w:b w:val="0"/>
          <w:bCs/>
        </w:rPr>
        <w:tab/>
        <w:t>Use Case Demographics</w:t>
      </w:r>
      <w:bookmarkEnd w:id="12"/>
    </w:p>
    <w:p w14:paraId="4A90D61C" w14:textId="77777777" w:rsidR="00B540FB" w:rsidRPr="00340794" w:rsidRDefault="00B540FB" w:rsidP="00B540FB">
      <w:pPr>
        <w:rPr>
          <w:bCs/>
        </w:rPr>
      </w:pPr>
      <w:r w:rsidRPr="00340794">
        <w:rPr>
          <w:bCs/>
        </w:rPr>
        <w:t xml:space="preserve">The dataset of the pilot study used as an example in the manuscript is from a prospective case-control study involving 1584 male and female participants aged between 35 and 79 years who underwent the 6-Minute-Walk-Test (6MWT) indoors with an Apple Watch Series 3 (Apple Inc., CA, USA) using its Indoor Walk mode. All participants were enrolled via the Courtois Cardiovascular Signature (CCVS) Program, a clinical research program aiming to personalize the management of cardiovascular health using analytic approaches centered around digital health and artificial intelligence, genetics, and microbiomics, as well as environmental factors to optimize cardiovascular patient outcomes. The program involves 4000 participants in a longitudinal prospective case-control study over a 10-year period, through which information on cardiovascular events, diagnoses, and medication is collected in the CCVS biorepository. The participants for this study were approached first by their physician at their cardiovascular clinic visit and their informed consent to the program was obtained. </w:t>
      </w:r>
    </w:p>
    <w:p w14:paraId="3172C1D9" w14:textId="5362403D" w:rsidR="00B540FB" w:rsidRPr="00340794" w:rsidRDefault="00B540FB" w:rsidP="00B540FB">
      <w:pPr>
        <w:rPr>
          <w:bCs/>
        </w:rPr>
      </w:pPr>
      <w:r w:rsidRPr="00340794">
        <w:rPr>
          <w:bCs/>
        </w:rPr>
        <w:t>Participants were separated into three cohorts (</w:t>
      </w:r>
      <w:r w:rsidRPr="00340794">
        <w:rPr>
          <w:bCs/>
        </w:rPr>
        <w:fldChar w:fldCharType="begin"/>
      </w:r>
      <w:r w:rsidRPr="00340794">
        <w:rPr>
          <w:bCs/>
        </w:rPr>
        <w:instrText xml:space="preserve"> REF _Ref158647567 \h  \* MERGEFORMAT </w:instrText>
      </w:r>
      <w:r w:rsidRPr="00340794">
        <w:rPr>
          <w:bCs/>
        </w:rPr>
      </w:r>
      <w:r w:rsidRPr="00340794">
        <w:rPr>
          <w:bCs/>
        </w:rPr>
        <w:fldChar w:fldCharType="separate"/>
      </w:r>
      <w:r w:rsidRPr="00340794">
        <w:rPr>
          <w:bCs/>
        </w:rPr>
        <w:t xml:space="preserve">Appendix Table </w:t>
      </w:r>
      <w:r w:rsidRPr="00340794">
        <w:rPr>
          <w:bCs/>
          <w:noProof/>
        </w:rPr>
        <w:t>5</w:t>
      </w:r>
      <w:r w:rsidRPr="00340794">
        <w:rPr>
          <w:bCs/>
        </w:rPr>
        <w:fldChar w:fldCharType="end"/>
      </w:r>
      <w:r w:rsidRPr="00340794">
        <w:rPr>
          <w:bCs/>
        </w:rPr>
        <w:t>): patients with heart failure (HF, n=86), patients with other cardiovascular conditions (CVD non-HF, n=172), and healthy participants (healthy, n=1326). Outliers were excluded based on the Q</w:t>
      </w:r>
      <w:r w:rsidRPr="00340794">
        <w:rPr>
          <w:bCs/>
          <w:vertAlign w:val="subscript"/>
        </w:rPr>
        <w:t>1</w:t>
      </w:r>
      <w:r w:rsidRPr="00340794">
        <w:rPr>
          <w:bCs/>
        </w:rPr>
        <w:t>/Q</w:t>
      </w:r>
      <w:r w:rsidRPr="00340794">
        <w:rPr>
          <w:bCs/>
          <w:vertAlign w:val="subscript"/>
        </w:rPr>
        <w:t>3</w:t>
      </w:r>
      <w:r w:rsidRPr="00340794">
        <w:rPr>
          <w:bCs/>
        </w:rPr>
        <w:t xml:space="preserve"> ± 1.5 IQR criterion, rendering the final sample sizes to be: n=74 (HF), n=161 (CVD non-HF), and n=1263 (healthy). Heart failure was defined as clinical signs and/or symptoms caused by a structural and/or functional cardiac abnormality, as defined by Bozkurt et al.,</w:t>
      </w:r>
      <w:r w:rsidRPr="00340794">
        <w:rPr>
          <w:bCs/>
          <w:kern w:val="0"/>
          <w:vertAlign w:val="superscript"/>
        </w:rPr>
        <w:fldChar w:fldCharType="begin"/>
      </w:r>
      <w:r w:rsidR="00340794">
        <w:rPr>
          <w:bCs/>
          <w:kern w:val="0"/>
          <w:vertAlign w:val="superscript"/>
        </w:rPr>
        <w:instrText xml:space="preserve"> ADDIN ZOTERO_ITEM CSL_CITATION {"citationID":"a1ia70ppn80","properties":{"formattedCitation":"\\super 6\\nosupersub{}","plainCitation":"6","noteIndex":0},"citationItems":[{"id":11096,"uris":["http://zotero.org/groups/4465919/items/WT538J8M"],"itemData":{"id":11096,"type":"article-journal","abstract":"In this document, we propose a universal definition of heart failure (HF) as a clinical syndrome with symptoms and/or signs caused by a structural and/or functional cardiac abnormality and corroborated by elevated natriuretic peptide levels and/or objective evidence of pulmonary or systemic congestion. We also propose revised stages of HF as: At risk for HF (Stage A), Pre-HF (Stage B), Symptomatic HF (Stage C) and Advanced HF (Stage D). Finally, we propose a new and revised classification of HF according to left ventricular ejection fraction (LVEF). This includes HF with reduced ejection fraction (HFrEF): symptomatic HF with LVEF ≤40%; HF with mildly reduced ejection fraction (HFmrEF): symptomatic HF with LVEF 41-49%; HF with preserved ejection fraction (HFpEF): symptomatic HF with LVEF ≥50%; and HF with improved ejection fraction (HFimpEF): symptomatic HF with a baseline LVEF ≤40%, a ≥10 point increase from baseline LVEF, and a second measurement of LVEF &gt; 40%.","container-title":"European Journal of Heart Failure","DOI":"10.1002/ejhf.2115","ISSN":"1879-0844","issue":"3","journalAbbreviation":"Eur J Heart Fail","language":"eng","note":"PMID: 33605000","page":"352-380","source":"PubMed","title":"Universal definition and classification of heart failure: a report of the Heart Failure Society of America, Heart Failure Association of the European Society of Cardiology, Japanese Heart Failure Society and Writing Committee of the Universal Definition of Heart Failure: Endorsed by the Canadian Heart Failure Society, Heart Failure Association of India, Cardiac Society of Australia and New Zealand, and Chinese Heart Failure Association","title-short":"Universal definition and classification of heart failure","volume":"23","author":[{"family":"Bozkurt","given":"Biykem"},{"family":"Coats","given":"Andrew J. S."},{"family":"Tsutsui","given":"Hiroyuki"},{"family":"Abdelhamid","given":"Ca Magdy"},{"family":"Adamopoulos","given":"Stamatis"},{"family":"Albert","given":"Nancy"},{"family":"Anker","given":"Stefan D."},{"family":"Atherton","given":"John"},{"family":"Böhm","given":"Michael"},{"family":"Butler","given":"Javed"},{"family":"Drazner","given":"Mark H."},{"family":"Michael Felker","given":"G."},{"family":"Filippatos","given":"Gerasimos"},{"family":"Fiuzat","given":"Mona"},{"family":"Fonarow","given":"Gregg C."},{"family":"Gomez-Mesa","given":"Juan-Esteban"},{"family":"Heidenreich","given":"Paul"},{"family":"Imamura","given":"Teruhiko"},{"family":"Jankowska","given":"Ewa A."},{"family":"Januzzi","given":"James"},{"family":"Khazanie","given":"Prateeti"},{"family":"Kinugawa","given":"Koichiro"},{"family":"Lam","given":"Carolyn S. P."},{"family":"Matsue","given":"Yuya"},{"family":"Metra","given":"Marco"},{"family":"Ohtani","given":"Tomohito"},{"family":"Francesco Piepoli","given":"Massimo"},{"family":"Ponikowski","given":"Piotr"},{"family":"Rosano","given":"Giuseppe M. C."},{"family":"Sakata","given":"Yasushi"},{"family":"Seferović","given":"Petar"},{"family":"Starling","given":"Randall C."},{"family":"Teerlink","given":"John R."},{"family":"Vardeny","given":"Orly"},{"family":"Yamamoto","given":"Kazuhiro"},{"family":"Yancy","given":"Clyde"},{"family":"Zhang","given":"Jian"},{"family":"Zieroth","given":"Shelley"}],"issued":{"date-parts":[["2021",3]]}}}],"schema":"https://github.com/citation-style-language/schema/raw/master/csl-citation.json"} </w:instrText>
      </w:r>
      <w:r w:rsidRPr="00340794">
        <w:rPr>
          <w:bCs/>
          <w:kern w:val="0"/>
          <w:vertAlign w:val="superscript"/>
        </w:rPr>
        <w:fldChar w:fldCharType="separate"/>
      </w:r>
      <w:r w:rsidR="00340794" w:rsidRPr="00340794">
        <w:rPr>
          <w:kern w:val="0"/>
          <w:vertAlign w:val="superscript"/>
        </w:rPr>
        <w:t>6</w:t>
      </w:r>
      <w:r w:rsidRPr="00340794">
        <w:rPr>
          <w:bCs/>
          <w:kern w:val="0"/>
          <w:vertAlign w:val="superscript"/>
        </w:rPr>
        <w:fldChar w:fldCharType="end"/>
      </w:r>
      <w:r w:rsidRPr="00340794">
        <w:rPr>
          <w:bCs/>
        </w:rPr>
        <w:t xml:space="preserve"> diagnosed at the cardiovascular clinic, as well as natriuretic Peptide (NT-proBNP) levels above 125 pg/L or objective evidence of cardiogenic pulmonary or systemic congestion. The HF cohort comprised patients with well compensated heart failure, who received regular cardiology care and had their quality of life optimized in spite of their condition. Additional exclusion criteria consisted of pregnancy, general MRI contraindications, and no understanding of English and French.</w:t>
      </w:r>
    </w:p>
    <w:p w14:paraId="1A836BDD" w14:textId="77777777" w:rsidR="00B540FB" w:rsidRPr="00340794" w:rsidRDefault="00B540FB" w:rsidP="00B540FB">
      <w:pPr>
        <w:rPr>
          <w:bCs/>
        </w:rPr>
      </w:pPr>
      <w:r w:rsidRPr="00340794">
        <w:rPr>
          <w:bCs/>
        </w:rPr>
        <w:t xml:space="preserve">Based on American Thoracic Society Guidelines, participants were asked to complete a 6MWT as part of their standard of care. The test includes asking participants to walk back and forth between two cones along a corridor of 28 m lap length for six minutes wearing the Apple Watch on their </w:t>
      </w:r>
      <w:r w:rsidRPr="00340794">
        <w:rPr>
          <w:bCs/>
        </w:rPr>
        <w:lastRenderedPageBreak/>
        <w:t>dominant hand while the time and walking distance were being manually recorded. Patients were allowed to slow down, stop or rest during the task if necessary. Fatigue and shortness of breath (SOB) severity were collected using the modified Borg scale, along with oxygen saturation (SpO</w:t>
      </w:r>
      <w:r w:rsidRPr="00340794">
        <w:rPr>
          <w:bCs/>
          <w:vertAlign w:val="subscript"/>
        </w:rPr>
        <w:t>2</w:t>
      </w:r>
      <w:r w:rsidRPr="00340794">
        <w:rPr>
          <w:bCs/>
        </w:rPr>
        <w:t>), heart rate (HR), and systolic and diastolic blood pressure (SBP, DBP). Participant height was entered in the phone paired to the Apple Watch prior to the 6MWT for calibration.</w:t>
      </w:r>
    </w:p>
    <w:p w14:paraId="3ECDC272" w14:textId="77777777" w:rsidR="00B540FB" w:rsidRPr="00340794" w:rsidRDefault="00B540FB" w:rsidP="00B540FB">
      <w:pPr>
        <w:pStyle w:val="AppendixH2"/>
        <w:rPr>
          <w:rFonts w:cs="Times New Roman"/>
          <w:b w:val="0"/>
          <w:bCs/>
        </w:rPr>
      </w:pPr>
      <w:bookmarkStart w:id="13" w:name="_Ref156650648"/>
      <w:r w:rsidRPr="00340794">
        <w:rPr>
          <w:rFonts w:cs="Times New Roman"/>
          <w:b w:val="0"/>
          <w:bCs/>
        </w:rPr>
        <w:t>C.</w:t>
      </w:r>
      <w:bookmarkStart w:id="14" w:name="_Ref154834110"/>
      <w:bookmarkEnd w:id="13"/>
      <w:r w:rsidRPr="00340794">
        <w:rPr>
          <w:rFonts w:cs="Times New Roman"/>
          <w:b w:val="0"/>
          <w:bCs/>
        </w:rPr>
        <w:t>2</w:t>
      </w:r>
      <w:r w:rsidRPr="00340794">
        <w:rPr>
          <w:rFonts w:cs="Times New Roman"/>
          <w:b w:val="0"/>
          <w:bCs/>
        </w:rPr>
        <w:tab/>
        <w:t>Correlation and Agreement Plots</w:t>
      </w:r>
      <w:bookmarkEnd w:id="14"/>
    </w:p>
    <w:p w14:paraId="76A95BFD" w14:textId="77777777" w:rsidR="00B540FB" w:rsidRPr="00340794" w:rsidRDefault="00B540FB" w:rsidP="00B540FB">
      <w:pPr>
        <w:rPr>
          <w:bCs/>
        </w:rPr>
      </w:pPr>
      <w:r w:rsidRPr="00340794">
        <w:rPr>
          <w:bCs/>
        </w:rPr>
        <w:t>This section includes the plots (</w:t>
      </w:r>
      <w:r w:rsidRPr="00340794">
        <w:rPr>
          <w:bCs/>
        </w:rPr>
        <w:fldChar w:fldCharType="begin"/>
      </w:r>
      <w:r w:rsidRPr="00340794">
        <w:rPr>
          <w:bCs/>
        </w:rPr>
        <w:instrText xml:space="preserve"> REF _Ref158647613 \h  \* MERGEFORMAT </w:instrText>
      </w:r>
      <w:r w:rsidRPr="00340794">
        <w:rPr>
          <w:bCs/>
        </w:rPr>
      </w:r>
      <w:r w:rsidRPr="00340794">
        <w:rPr>
          <w:bCs/>
        </w:rPr>
        <w:fldChar w:fldCharType="separate"/>
      </w:r>
      <w:r w:rsidRPr="00340794">
        <w:rPr>
          <w:bCs/>
        </w:rPr>
        <w:t xml:space="preserve">Appendix Figure </w:t>
      </w:r>
      <w:r w:rsidRPr="00340794">
        <w:rPr>
          <w:bCs/>
          <w:noProof/>
        </w:rPr>
        <w:t>3</w:t>
      </w:r>
      <w:r w:rsidRPr="00340794">
        <w:rPr>
          <w:bCs/>
        </w:rPr>
        <w:fldChar w:fldCharType="end"/>
      </w:r>
      <w:r w:rsidRPr="00340794">
        <w:rPr>
          <w:bCs/>
        </w:rPr>
        <w:t xml:space="preserve"> and </w:t>
      </w:r>
      <w:r w:rsidRPr="00340794">
        <w:rPr>
          <w:bCs/>
        </w:rPr>
        <w:fldChar w:fldCharType="begin"/>
      </w:r>
      <w:r w:rsidRPr="00340794">
        <w:rPr>
          <w:bCs/>
        </w:rPr>
        <w:instrText xml:space="preserve"> REF _Ref158647615 \h  \* MERGEFORMAT </w:instrText>
      </w:r>
      <w:r w:rsidRPr="00340794">
        <w:rPr>
          <w:bCs/>
        </w:rPr>
      </w:r>
      <w:r w:rsidRPr="00340794">
        <w:rPr>
          <w:bCs/>
        </w:rPr>
        <w:fldChar w:fldCharType="separate"/>
      </w:r>
      <w:r w:rsidRPr="00340794">
        <w:rPr>
          <w:bCs/>
        </w:rPr>
        <w:t xml:space="preserve">Appendix Figure </w:t>
      </w:r>
      <w:r w:rsidRPr="00340794">
        <w:rPr>
          <w:bCs/>
          <w:noProof/>
        </w:rPr>
        <w:t>4</w:t>
      </w:r>
      <w:r w:rsidRPr="00340794">
        <w:rPr>
          <w:bCs/>
        </w:rPr>
        <w:fldChar w:fldCharType="end"/>
      </w:r>
      <w:r w:rsidRPr="00340794">
        <w:rPr>
          <w:bCs/>
        </w:rPr>
        <w:t xml:space="preserve">) illustrating correlation and agreement, reflecting </w:t>
      </w:r>
      <w:proofErr w:type="spellStart"/>
      <w:r w:rsidRPr="00340794">
        <w:rPr>
          <w:bCs/>
        </w:rPr>
        <w:t>ρ</w:t>
      </w:r>
      <w:r w:rsidRPr="00340794">
        <w:rPr>
          <w:bCs/>
          <w:vertAlign w:val="subscript"/>
        </w:rPr>
        <w:t>s</w:t>
      </w:r>
      <w:proofErr w:type="spellEnd"/>
      <w:r w:rsidRPr="00340794">
        <w:rPr>
          <w:bCs/>
        </w:rPr>
        <w:t xml:space="preserve"> and BA respectively. The correlation between digital and manual measurements of 6MWD is illustrated in the </w:t>
      </w:r>
      <w:r w:rsidRPr="00340794">
        <w:rPr>
          <w:bCs/>
        </w:rPr>
        <w:fldChar w:fldCharType="begin"/>
      </w:r>
      <w:r w:rsidRPr="00340794">
        <w:rPr>
          <w:bCs/>
        </w:rPr>
        <w:instrText xml:space="preserve"> REF _Ref158647613 \h  \* MERGEFORMAT </w:instrText>
      </w:r>
      <w:r w:rsidRPr="00340794">
        <w:rPr>
          <w:bCs/>
        </w:rPr>
      </w:r>
      <w:r w:rsidRPr="00340794">
        <w:rPr>
          <w:bCs/>
        </w:rPr>
        <w:fldChar w:fldCharType="separate"/>
      </w:r>
      <w:r w:rsidRPr="00340794">
        <w:rPr>
          <w:bCs/>
        </w:rPr>
        <w:t xml:space="preserve">Appendix Figure </w:t>
      </w:r>
      <w:r w:rsidRPr="00340794">
        <w:rPr>
          <w:bCs/>
          <w:noProof/>
        </w:rPr>
        <w:t>3</w:t>
      </w:r>
      <w:r w:rsidRPr="00340794">
        <w:rPr>
          <w:bCs/>
        </w:rPr>
        <w:fldChar w:fldCharType="end"/>
      </w:r>
      <w:r w:rsidRPr="00340794">
        <w:rPr>
          <w:bCs/>
        </w:rPr>
        <w:t xml:space="preserve"> for each cohort. Manual 6WMT-measured distance is represented on the x axis, while the Apple Watch’s digital 6MWD distance is represented on the y axis. Each scatter plot displays the linear regression line and the corresponding </w:t>
      </w:r>
      <w:proofErr w:type="spellStart"/>
      <w:r w:rsidRPr="00340794">
        <w:rPr>
          <w:bCs/>
        </w:rPr>
        <w:t>ρ</w:t>
      </w:r>
      <w:r w:rsidRPr="00340794">
        <w:rPr>
          <w:bCs/>
          <w:vertAlign w:val="subscript"/>
        </w:rPr>
        <w:t>s</w:t>
      </w:r>
      <w:proofErr w:type="spellEnd"/>
      <w:r w:rsidRPr="00340794">
        <w:rPr>
          <w:bCs/>
        </w:rPr>
        <w:t xml:space="preserve"> value.</w:t>
      </w:r>
    </w:p>
    <w:p w14:paraId="5A3AEB2D" w14:textId="77777777" w:rsidR="00B540FB" w:rsidRPr="00340794" w:rsidRDefault="00B540FB" w:rsidP="00B540FB">
      <w:pPr>
        <w:pStyle w:val="AppendixH2"/>
        <w:rPr>
          <w:b w:val="0"/>
          <w:bCs/>
        </w:rPr>
      </w:pPr>
      <w:r w:rsidRPr="00340794">
        <w:rPr>
          <w:b w:val="0"/>
          <w:bCs/>
        </w:rPr>
        <w:t>C.3</w:t>
      </w:r>
      <w:r w:rsidRPr="00340794">
        <w:rPr>
          <w:b w:val="0"/>
          <w:bCs/>
        </w:rPr>
        <w:tab/>
        <w:t>Bland-Altman Analysis</w:t>
      </w:r>
    </w:p>
    <w:p w14:paraId="215CF757" w14:textId="77777777" w:rsidR="00B540FB" w:rsidRPr="00340794" w:rsidRDefault="00B540FB" w:rsidP="00B540FB">
      <w:pPr>
        <w:rPr>
          <w:bCs/>
        </w:rPr>
      </w:pPr>
      <w:r w:rsidRPr="00340794">
        <w:rPr>
          <w:bCs/>
        </w:rPr>
        <w:t>Bland-Altman analysis is used to evaluate the systematic bias between digital and manual measurements by comparing it to the relative MCID of 10% for HF patients in the case of the Apple Watch study. In other words, digital measurements exhibiting a discrepancy exceeding 10% relative to their manual counterpart were categorized as clinically unreliable Apple Watch measurements.</w:t>
      </w:r>
    </w:p>
    <w:p w14:paraId="06897DDB" w14:textId="77777777" w:rsidR="00B540FB" w:rsidRPr="00340794" w:rsidRDefault="00B540FB" w:rsidP="00B540FB">
      <w:pPr>
        <w:rPr>
          <w:bCs/>
        </w:rPr>
      </w:pPr>
      <w:r w:rsidRPr="00340794">
        <w:rPr>
          <w:bCs/>
        </w:rPr>
        <w:t xml:space="preserve">The Bland-Altman plots for the HF, CVD non-HF, and healthy cohorts provided in </w:t>
      </w:r>
      <w:r w:rsidRPr="00340794">
        <w:rPr>
          <w:bCs/>
        </w:rPr>
        <w:fldChar w:fldCharType="begin"/>
      </w:r>
      <w:r w:rsidRPr="00340794">
        <w:rPr>
          <w:bCs/>
        </w:rPr>
        <w:instrText xml:space="preserve"> REF _Ref158647615 \h  \* MERGEFORMAT </w:instrText>
      </w:r>
      <w:r w:rsidRPr="00340794">
        <w:rPr>
          <w:bCs/>
        </w:rPr>
      </w:r>
      <w:r w:rsidRPr="00340794">
        <w:rPr>
          <w:bCs/>
        </w:rPr>
        <w:fldChar w:fldCharType="separate"/>
      </w:r>
      <w:r w:rsidRPr="00340794">
        <w:rPr>
          <w:bCs/>
        </w:rPr>
        <w:t xml:space="preserve">Appendix Figure </w:t>
      </w:r>
      <w:r w:rsidRPr="00340794">
        <w:rPr>
          <w:bCs/>
          <w:noProof/>
        </w:rPr>
        <w:t>4</w:t>
      </w:r>
      <w:r w:rsidRPr="00340794">
        <w:rPr>
          <w:bCs/>
        </w:rPr>
        <w:fldChar w:fldCharType="end"/>
      </w:r>
      <w:r w:rsidRPr="00340794">
        <w:rPr>
          <w:bCs/>
        </w:rPr>
        <w:t xml:space="preserve"> highlight systematic overestimation of 6MWD by the Apple Watch, as illustrated by the mean bias line being above the perfect agreement line (y = 0%) in each cohort. Bland-Altman analysis yielded mean biases (CIs) of +5.9% (3.7, 8.1), +6.4% (4.8, 8.0), and +6.3% (6.8, 5.8) in HF, CVD non-HF, and healthy cohorts respectively. Hence, in every group, the mean bias and its 95% CI fall within the clinical threshold of ± 10%.</w:t>
      </w:r>
    </w:p>
    <w:p w14:paraId="63ADE557" w14:textId="6AE9AC3C" w:rsidR="00B540FB" w:rsidRPr="00340794" w:rsidRDefault="00B540FB" w:rsidP="00B540FB">
      <w:pPr>
        <w:rPr>
          <w:bCs/>
        </w:rPr>
      </w:pPr>
      <w:r w:rsidRPr="00340794">
        <w:rPr>
          <w:bCs/>
        </w:rPr>
        <w:t xml:space="preserve">Bland-Altman plots also provide the opportunity to assess the spread of the data beyond simply interpreting the </w:t>
      </w:r>
      <w:proofErr w:type="spellStart"/>
      <w:r w:rsidRPr="00340794">
        <w:rPr>
          <w:bCs/>
        </w:rPr>
        <w:t>LoAs</w:t>
      </w:r>
      <w:proofErr w:type="spellEnd"/>
      <w:r w:rsidRPr="00340794">
        <w:rPr>
          <w:bCs/>
        </w:rPr>
        <w:t xml:space="preserve">; looking for patterns in the spread of the dataset allows to draw additional conclusions on the tested device. For example, increasing absolute differences between digital and </w:t>
      </w:r>
      <w:r w:rsidRPr="00340794">
        <w:rPr>
          <w:bCs/>
        </w:rPr>
        <w:lastRenderedPageBreak/>
        <w:t xml:space="preserve">manual measurements (y axis) with incrementing average values (x axis) on a standard BA plot, but relative differences (y axis, %) staying constant on the corresponding relative BA plot could indicate that the device accumulates consistent small errors in measurements throughout the walk, thereby making agreement and reliability a function of the traveled distance (6MWD). </w:t>
      </w:r>
      <w:proofErr w:type="spellStart"/>
      <w:r w:rsidRPr="00340794">
        <w:rPr>
          <w:bCs/>
        </w:rPr>
        <w:t>Sevrukov</w:t>
      </w:r>
      <w:proofErr w:type="spellEnd"/>
      <w:r w:rsidRPr="00340794">
        <w:rPr>
          <w:bCs/>
        </w:rPr>
        <w:t xml:space="preserve"> et al. provide an example where the absolute difference between measurements appears to be an increasing function of the average.</w:t>
      </w:r>
      <w:r w:rsidRPr="00340794">
        <w:rPr>
          <w:bCs/>
        </w:rPr>
        <w:fldChar w:fldCharType="begin"/>
      </w:r>
      <w:r w:rsidR="00340794">
        <w:rPr>
          <w:bCs/>
        </w:rPr>
        <w:instrText xml:space="preserve"> ADDIN ZOTERO_ITEM CSL_CITATION {"citationID":"a16v097p9di","properties":{"formattedCitation":"\\super 7\\nosupersub{}","plainCitation":"7","noteIndex":0},"citationItems":[{"id":11934,"uris":["http://zotero.org/groups/4465919/items/JT8ER42M"],"itemData":{"id":11934,"type":"article-journal","abstract":"OBJECTIVE: The objective of our study was to develop a model for determining the smallest statistically significant change in the coronary artery calcium score (CAC) between serial measurements in a given subject.\nMATERIALS AND METHODS: We assembled a convenience sample of 2,217 pairs of repeated electron beam CT coronary calcium scans acquired in quick succession. Each scan consisted of forty 100-msec, 3-mm sections obtained at 60% of the ECG R-R interval. A single observer quantified calcium in each scan independent of knowledge of calcium quantity in the repeated scan. We then modeled a relationship between the variation of the differences between repeated measurements of calcium and the magnitude of the calcium score and formulated 95% repeatability coefficient equations for the Agatston and volumetric CAC score. The equations allow determining the smallest statistically significant interval change in the calcium score between two serial measurements in a given subject.\nRESULTS: In a subject with measurable CAC at baseline, the smallest statistically significant interval change is +/- (4.930 x square root of baseline Agatston CAC score) or +/- (3.445 x square root of baseline volumetric CAC score). In a subject with no measurable CAC at baseline, a follow-up CAC score exceeding 11.6 Agatston units or 9.5 mm3 qualifies for statistically significant progression. The results were similar in men and women.\nCONCLUSION: By examining repeatability of quantitative electron beam CT measurements of coronary calcium as a function of the magnitude of the calcium score, we developed a model to determine the smallest statistically significant change between serial measurements in a given subject.","container-title":"AJR. American journal of roentgenology","DOI":"10.2214/AJR.04.1589","ISSN":"0361-803X","issue":"6","journalAbbreviation":"AJR Am J Roentgenol","language":"eng","note":"PMID: 16304011","page":"1546-1553","source":"PubMed","title":"Serial electron beam CT measurements of coronary artery calcium: Has your patient's calcium score actually changed?","title-short":"Serial electron beam CT measurements of coronary artery calcium","volume":"185","author":[{"family":"Sevrukov","given":"Alexander B."},{"family":"Bland","given":"J. Martin"},{"family":"Kondos","given":"George T."}],"issued":{"date-parts":[["2005",12]]}}}],"schema":"https://github.com/citation-style-language/schema/raw/master/csl-citation.json"} </w:instrText>
      </w:r>
      <w:r w:rsidRPr="00340794">
        <w:rPr>
          <w:bCs/>
        </w:rPr>
        <w:fldChar w:fldCharType="separate"/>
      </w:r>
      <w:r w:rsidR="00340794" w:rsidRPr="00340794">
        <w:rPr>
          <w:kern w:val="0"/>
          <w:vertAlign w:val="superscript"/>
        </w:rPr>
        <w:t>7</w:t>
      </w:r>
      <w:r w:rsidRPr="00340794">
        <w:rPr>
          <w:bCs/>
        </w:rPr>
        <w:fldChar w:fldCharType="end"/>
      </w:r>
      <w:r w:rsidRPr="00340794">
        <w:rPr>
          <w:bCs/>
        </w:rPr>
        <w:t xml:space="preserve"> Although the lack of such a pattern suggests a different explanation for the suboptimal accuracy</w:t>
      </w:r>
      <w:r w:rsidRPr="00340794" w:rsidDel="00A85EA8">
        <w:rPr>
          <w:bCs/>
        </w:rPr>
        <w:t xml:space="preserve"> </w:t>
      </w:r>
      <w:r w:rsidRPr="00340794">
        <w:rPr>
          <w:bCs/>
        </w:rPr>
        <w:t>of the Apple Watch, it is always important to appreciate for patterns in the spread of the dataset.</w:t>
      </w:r>
    </w:p>
    <w:p w14:paraId="21442FF2" w14:textId="77777777" w:rsidR="00B540FB" w:rsidRPr="00340794" w:rsidRDefault="00B540FB" w:rsidP="00B540FB">
      <w:pPr>
        <w:rPr>
          <w:bCs/>
        </w:rPr>
      </w:pPr>
      <w:r w:rsidRPr="00340794">
        <w:rPr>
          <w:bCs/>
        </w:rPr>
        <w:t>Of note, Bland-Altman analysis can also be used to evaluate the replicability of multiple (i.e., two or more) DHT measurements, provided the measurements are taken within a short enough timeframe to avoid results being confounded by changes in the patient’s disease state. As an example, one could record 6MWD measurements on four consecutive days and assess whether the measurements from different days are in agreement with each other to evaluate the replicability of the results.</w:t>
      </w:r>
      <w:r w:rsidRPr="00340794">
        <w:rPr>
          <w:bCs/>
          <w:kern w:val="0"/>
          <w:vertAlign w:val="superscript"/>
        </w:rPr>
        <w:t>27</w:t>
      </w:r>
    </w:p>
    <w:p w14:paraId="4FF01B9F" w14:textId="77777777" w:rsidR="00B540FB" w:rsidRPr="00340794" w:rsidRDefault="00B540FB" w:rsidP="00B540FB">
      <w:pPr>
        <w:pStyle w:val="AppendixH2"/>
        <w:rPr>
          <w:b w:val="0"/>
          <w:bCs/>
        </w:rPr>
      </w:pPr>
      <w:r w:rsidRPr="00340794">
        <w:rPr>
          <w:b w:val="0"/>
          <w:bCs/>
        </w:rPr>
        <w:t>C.4</w:t>
      </w:r>
      <w:r w:rsidRPr="00340794">
        <w:rPr>
          <w:b w:val="0"/>
          <w:bCs/>
        </w:rPr>
        <w:tab/>
        <w:t>Interpreting Metrics</w:t>
      </w:r>
    </w:p>
    <w:p w14:paraId="49609241" w14:textId="77777777" w:rsidR="00B540FB" w:rsidRPr="00340794" w:rsidRDefault="00B540FB" w:rsidP="00B540FB">
      <w:pPr>
        <w:rPr>
          <w:bCs/>
        </w:rPr>
      </w:pPr>
      <w:r w:rsidRPr="00340794">
        <w:rPr>
          <w:bCs/>
        </w:rPr>
        <w:t>First, the Spearman correlation coefficient (</w:t>
      </w:r>
      <w:proofErr w:type="spellStart"/>
      <w:r w:rsidRPr="00340794">
        <w:rPr>
          <w:bCs/>
        </w:rPr>
        <w:t>ρ</w:t>
      </w:r>
      <w:r w:rsidRPr="00340794">
        <w:rPr>
          <w:bCs/>
          <w:vertAlign w:val="subscript"/>
        </w:rPr>
        <w:t>s</w:t>
      </w:r>
      <w:proofErr w:type="spellEnd"/>
      <w:r w:rsidRPr="00340794">
        <w:rPr>
          <w:bCs/>
        </w:rPr>
        <w:t xml:space="preserve">) was computed to quantify the strength of the relationship between Apple Watch digital measurements and manual 6MWT coordinator measurements of distance. The </w:t>
      </w:r>
      <w:proofErr w:type="spellStart"/>
      <w:r w:rsidRPr="00340794">
        <w:rPr>
          <w:bCs/>
        </w:rPr>
        <w:t>ρ</w:t>
      </w:r>
      <w:r w:rsidRPr="00340794">
        <w:rPr>
          <w:bCs/>
          <w:vertAlign w:val="subscript"/>
        </w:rPr>
        <w:t>s</w:t>
      </w:r>
      <w:proofErr w:type="spellEnd"/>
      <w:r w:rsidRPr="00340794">
        <w:rPr>
          <w:bCs/>
        </w:rPr>
        <w:t xml:space="preserve"> values indicated moderately strong correlation between the manual and digital 6MWD across all cohorts. Nevertheless, the CCC indicated poor levels of agreement for every group. The discrepancy between CCC and </w:t>
      </w:r>
      <w:proofErr w:type="spellStart"/>
      <w:r w:rsidRPr="00340794">
        <w:rPr>
          <w:bCs/>
        </w:rPr>
        <w:t>ρs</w:t>
      </w:r>
      <w:proofErr w:type="spellEnd"/>
      <w:r w:rsidRPr="00340794">
        <w:rPr>
          <w:bCs/>
        </w:rPr>
        <w:t xml:space="preserve"> values in each cohort highlights the difference in their respective functions and the nuance between correlation and agreement, showing that strong correlation is not synonym with satisfactory agreement.</w:t>
      </w:r>
    </w:p>
    <w:p w14:paraId="18D7AC3F" w14:textId="77777777" w:rsidR="00B540FB" w:rsidRPr="00340794" w:rsidRDefault="00B540FB" w:rsidP="00B540FB">
      <w:pPr>
        <w:rPr>
          <w:bCs/>
        </w:rPr>
      </w:pPr>
      <w:r w:rsidRPr="00340794">
        <w:rPr>
          <w:bCs/>
        </w:rPr>
        <w:t>Next, the ICC, giving insight into measurement replicability and capturing both correlation and agreement into a single metric, yielded moderate reliability levels using the two-way mixed-effects, single-rater, absolute agreement ICC.</w:t>
      </w:r>
    </w:p>
    <w:p w14:paraId="24F79E31" w14:textId="7DD35AF7" w:rsidR="00B540FB" w:rsidRPr="00340794" w:rsidRDefault="00B540FB" w:rsidP="00B540FB">
      <w:pPr>
        <w:rPr>
          <w:bCs/>
        </w:rPr>
      </w:pPr>
      <w:r w:rsidRPr="00340794">
        <w:rPr>
          <w:bCs/>
        </w:rPr>
        <w:t>The MAPE was then computed to quantify forecasting accuracy and interpreted using Nelson et al.’s threshold,</w:t>
      </w:r>
      <w:r w:rsidRPr="00340794">
        <w:rPr>
          <w:bCs/>
        </w:rPr>
        <w:fldChar w:fldCharType="begin"/>
      </w:r>
      <w:r w:rsidR="00340794">
        <w:rPr>
          <w:bCs/>
        </w:rPr>
        <w:instrText xml:space="preserve"> ADDIN ZOTERO_ITEM CSL_CITATION {"citationID":"a1n18a9i790","properties":{"formattedCitation":"\\super 8\\nosupersub{}","plainCitation":"8","noteIndex":0},"citationItems":[{"id":11207,"uris":["http://zotero.org/groups/4465919/items/B9TPGVCZ"],"itemData":{"id":11207,"type":"article-journal","abstract":"Purpose \n        Consumer-based physical activity (PA) monitors are popular for individual tracking of PA variables. However, current research has not examined how these monitors track energy expenditure (EE) and steps in distinct activities. This study examined the accuracy of the Fitbits One, Zip, and Flex and Jawbone UP24 for estimating EE and steps for specific activities and activity categories.\n        Methods \n        Thirty subjects completed a structured protocol consisting of three sedentary, four household, and four ambulatory/exercise activities. All subjects began by lying on a bed for 10 min; 10 other activities were performed for 5 min each. Indirect calorimetry (COSMED) and researcher-counted steps were criterion measures for EE and step counts, respectively. The Omron HJ-720IT pedometer was used as a comparison of step count accuracy. EE and steps were compared with criterion measures using the Friedman repeated-measures nonparametric test and mean absolute percent error (MAPE).\n        Results \n        All PA monitors predicted EE within 8% of COSMED for sedentary activity but overestimated EE by 16%–40% during ambulatory activity. All monitors except the Fitbit Flex (within 8% of criterion) underestimated EE by 27%–34% during household activity. EE predictions were accompanied with MAPE &gt;10%. For household activity, the Fitbit Flex estimated steps within 10% of researcher-counted steps; all other monitors underestimated steps by 35%–64%. All monitors estimated steps within 4% of researcher-counted steps and displayed MAPE &lt;10% during ambulatory activity. The Omron underestimated household steps by 74% but was within 1% for ambulatory steps. All monitors severely underestimated EE and steps during cycling.\n        Conclusion \n        Consumer-based PA monitors should be used cautiously for estimating EE, although they provide accurate measures of steps for structured ambulatory activity, similar to validated pedometers.","container-title":"Medicine &amp; Science in Sports &amp; Exercise","DOI":"10.1249/MSS.0000000000000933","ISSN":"0195-9131","issue":"8","language":"en-US","page":"1619–1628","source":"journals.lww.com","title":"Validity of Consumer-Based Physical Activity Monitors for Specific Activity Types","volume":"48","author":[{"family":"Nelson","given":"M. Benjamin"},{"family":"Kaminsky","given":"Leonard A."},{"family":"Dickin","given":"D. Clark"},{"family":"Montoye","given":"Alexander H. K."}],"issued":{"date-parts":[["2016",8]]}}}],"schema":"https://github.com/citation-style-language/schema/raw/master/csl-citation.json"} </w:instrText>
      </w:r>
      <w:r w:rsidRPr="00340794">
        <w:rPr>
          <w:bCs/>
        </w:rPr>
        <w:fldChar w:fldCharType="separate"/>
      </w:r>
      <w:r w:rsidR="00340794" w:rsidRPr="00340794">
        <w:rPr>
          <w:kern w:val="0"/>
          <w:vertAlign w:val="superscript"/>
        </w:rPr>
        <w:t>8</w:t>
      </w:r>
      <w:r w:rsidRPr="00340794">
        <w:rPr>
          <w:bCs/>
        </w:rPr>
        <w:fldChar w:fldCharType="end"/>
      </w:r>
      <w:r w:rsidRPr="00340794">
        <w:rPr>
          <w:bCs/>
        </w:rPr>
        <w:t xml:space="preserve"> also used by Boudreaux et al.</w:t>
      </w:r>
      <w:r w:rsidRPr="00340794">
        <w:rPr>
          <w:bCs/>
          <w:kern w:val="0"/>
          <w:vertAlign w:val="superscript"/>
        </w:rPr>
        <w:fldChar w:fldCharType="begin"/>
      </w:r>
      <w:r w:rsidR="00340794">
        <w:rPr>
          <w:bCs/>
          <w:kern w:val="0"/>
          <w:vertAlign w:val="superscript"/>
        </w:rPr>
        <w:instrText xml:space="preserve"> ADDIN ZOTERO_ITEM CSL_CITATION {"citationID":"a1d62gq2hk3","properties":{"formattedCitation":"\\super 9\\nosupersub{}","plainCitation":"9","noteIndex":0},"citationItems":[{"id":11209,"uris":["http://zotero.org/groups/4465919/items/2CIEEBGD"],"itemData":{"id":11209,"type":"article-journal","abstract":"Introduction \n        The use of wearable activity monitors has seen rapid growth; however, the mode and intensity of exercise could affect the validity of heart rate (HR) and caloric (energy) expenditure (EE) readings. There is a lack of data regarding the validity of wearable activity monitors during graded cycling regimen and a standard resistance exercise. The present study determined the validity of eight monitors for HR compared with an ECG and seven monitors for EE compared with a metabolic analyzer during graded cycling and resistance exercise.\n        Methods \n        Fifty subjects (28 women, 22 men) completed separate trials of graded cycling and three sets of four resistance exercises at a 10-repetition-maximum load. Monitors included the following: Apple Watch Series 2, Fitbit Blaze, Fitbit Charge 2, Polar H7, Polar A360, Garmin Vivosmart HR, TomTom Touch, and Bose SoundSport Pulse (BSP) headphones. HR was recorded after each cycling intensity and after each resistance exercise set. EE was recorded after both protocols. Validity was established as having a mean absolute percent error (MAPE) value of ≤10%.\n        Results \n        The Polar H7 and BSP were valid during both exercise modes (cycling: MAPE = 6.87%, R = 0.79; resistance exercise: MAPE = 6.31%, R = 0.83). During cycling, the Apple Watch Series 2 revealed the greatest HR validity (MAPE = 4.14%, R = 0.80). The BSP revealed the greatest HR accuracy during resistance exercise (MAPE = 6.24%, R = 0.86). Across all devices, as exercise intensity increased, there was greater underestimation of HR. No device was valid for EE during cycling or resistance exercise.\n        Conclusions \n        HR from wearable devices differed at different exercise intensities; EE estimates from wearable devices were inaccurate. Wearable devices are not medical devices, and users should be cautious when using these devices for monitoring physiological responses to exercise.","container-title":"Medicine &amp; Science in Sports &amp; Exercise","DOI":"10.1249/MSS.0000000000001471","ISSN":"0195-9131","issue":"3","language":"en-US","page":"624–633","source":"journals.lww.com","title":"Validity of Wearable Activity Monitors during Cycling and Resistance Exercise","volume":"50","author":[{"family":"Boudreaux","given":"Benjamin D."},{"family":"Hebert","given":"Edward P."},{"family":"Hollander","given":"Daniel B."},{"family":"Williams","given":"Brian M."},{"family":"Cormier","given":"Corinne L."},{"family":"Naquin","given":"Mildred R."},{"family":"Gillan","given":"Wynn W."},{"family":"Gusew","given":"Emily E."},{"family":"Kraemer","given":"Robert R."}],"issued":{"date-parts":[["2018",3]]}}}],"schema":"https://github.com/citation-style-language/schema/raw/master/csl-citation.json"} </w:instrText>
      </w:r>
      <w:r w:rsidRPr="00340794">
        <w:rPr>
          <w:bCs/>
          <w:kern w:val="0"/>
          <w:vertAlign w:val="superscript"/>
        </w:rPr>
        <w:fldChar w:fldCharType="separate"/>
      </w:r>
      <w:r w:rsidR="00340794" w:rsidRPr="00340794">
        <w:rPr>
          <w:kern w:val="0"/>
          <w:vertAlign w:val="superscript"/>
        </w:rPr>
        <w:t>9</w:t>
      </w:r>
      <w:r w:rsidRPr="00340794">
        <w:rPr>
          <w:bCs/>
          <w:kern w:val="0"/>
          <w:vertAlign w:val="superscript"/>
        </w:rPr>
        <w:fldChar w:fldCharType="end"/>
      </w:r>
      <w:r w:rsidRPr="00340794">
        <w:rPr>
          <w:bCs/>
        </w:rPr>
        <w:t xml:space="preserve"> and </w:t>
      </w:r>
      <w:proofErr w:type="spellStart"/>
      <w:r w:rsidRPr="00340794">
        <w:rPr>
          <w:bCs/>
        </w:rPr>
        <w:t>Vetrovsky</w:t>
      </w:r>
      <w:proofErr w:type="spellEnd"/>
      <w:r w:rsidRPr="00340794">
        <w:rPr>
          <w:bCs/>
        </w:rPr>
        <w:t xml:space="preserve"> et al.</w:t>
      </w:r>
      <w:r w:rsidRPr="00340794">
        <w:rPr>
          <w:bCs/>
          <w:kern w:val="0"/>
          <w:vertAlign w:val="superscript"/>
        </w:rPr>
        <w:fldChar w:fldCharType="begin"/>
      </w:r>
      <w:r w:rsidR="00340794">
        <w:rPr>
          <w:bCs/>
          <w:kern w:val="0"/>
          <w:vertAlign w:val="superscript"/>
        </w:rPr>
        <w:instrText xml:space="preserve"> ADDIN ZOTERO_ITEM CSL_CITATION {"citationID":"a16qvr6qjtv","properties":{"formattedCitation":"\\super 10\\nosupersub{}","plainCitation":"10","noteIndex":0},"citationItems":[{"id":10963,"uris":["http://zotero.org/groups/4465919/items/B37NFKN7"],"itemData":{"id":10963,"type":"article-journal","container-title":"PloS One","DOI":"10.1371/journal.pone.0222569","issue":"9","language":"en","title":"Validity of six consumer-level activity monitors for measuring steps in patients with chronic heart failure","volume":"14","author":[{"family":"Vetrovsky","given":"T."},{"family":"Siranec","given":"M."},{"family":"Marencakova","given":"J."}],"issued":{"date-parts":[["2019"]]}}}],"schema":"https://github.com/citation-style-language/schema/raw/master/csl-citation.json"} </w:instrText>
      </w:r>
      <w:r w:rsidRPr="00340794">
        <w:rPr>
          <w:bCs/>
          <w:kern w:val="0"/>
          <w:vertAlign w:val="superscript"/>
        </w:rPr>
        <w:fldChar w:fldCharType="separate"/>
      </w:r>
      <w:r w:rsidR="00340794" w:rsidRPr="00340794">
        <w:rPr>
          <w:kern w:val="0"/>
          <w:vertAlign w:val="superscript"/>
        </w:rPr>
        <w:t>10</w:t>
      </w:r>
      <w:r w:rsidRPr="00340794">
        <w:rPr>
          <w:bCs/>
          <w:kern w:val="0"/>
          <w:vertAlign w:val="superscript"/>
        </w:rPr>
        <w:fldChar w:fldCharType="end"/>
      </w:r>
      <w:r w:rsidRPr="00340794">
        <w:rPr>
          <w:bCs/>
        </w:rPr>
        <w:t xml:space="preserve"> in the DHT literature, setting a MAPE ≤ 10% as the validity criterion. Of note, other thresholds exist in the literature, such as </w:t>
      </w:r>
      <w:proofErr w:type="spellStart"/>
      <w:r w:rsidRPr="00340794">
        <w:rPr>
          <w:bCs/>
        </w:rPr>
        <w:lastRenderedPageBreak/>
        <w:t>Fokkema</w:t>
      </w:r>
      <w:proofErr w:type="spellEnd"/>
      <w:r w:rsidRPr="00340794">
        <w:rPr>
          <w:bCs/>
        </w:rPr>
        <w:t xml:space="preserve"> et al.’s 5% MAPE validity threshold,</w:t>
      </w:r>
      <w:r w:rsidRPr="00340794">
        <w:rPr>
          <w:bCs/>
          <w:kern w:val="0"/>
          <w:vertAlign w:val="superscript"/>
        </w:rPr>
        <w:fldChar w:fldCharType="begin"/>
      </w:r>
      <w:r w:rsidR="00340794">
        <w:rPr>
          <w:bCs/>
          <w:kern w:val="0"/>
          <w:vertAlign w:val="superscript"/>
        </w:rPr>
        <w:instrText xml:space="preserve"> ADDIN ZOTERO_ITEM CSL_CITATION {"citationID":"a9gsksrknv","properties":{"formattedCitation":"\\super 11\\nosupersub{}","plainCitation":"11","noteIndex":0},"citationItems":[{"id":10967,"uris":["http://zotero.org/groups/4465919/items/UX4T7UGL"],"itemData":{"id":10967,"type":"article-journal","container-title":"Med Sci Sports Exerc","DOI":"10.1249/MSS.0000000000001146","issue":"4","language":"en","page":"793–800","title":"Reliability and Validity of Ten Consumer Activity Trackers Depend on Walking Speed","volume":"49","author":[{"family":"Fokkema","given":"T."},{"family":"Kooiman","given":"T.J.M."},{"family":"Krijnen","given":"W.P."},{"family":"Schans","given":"V.A.N.D.E.R."},{"family":"CP","given":"D.E.Groot"},{"literal":"M."}],"issued":{"date-parts":[["2017"]]}}}],"schema":"https://github.com/citation-style-language/schema/raw/master/csl-citation.json"} </w:instrText>
      </w:r>
      <w:r w:rsidRPr="00340794">
        <w:rPr>
          <w:bCs/>
          <w:kern w:val="0"/>
          <w:vertAlign w:val="superscript"/>
        </w:rPr>
        <w:fldChar w:fldCharType="separate"/>
      </w:r>
      <w:r w:rsidR="00340794" w:rsidRPr="00340794">
        <w:rPr>
          <w:kern w:val="0"/>
          <w:vertAlign w:val="superscript"/>
        </w:rPr>
        <w:t>11</w:t>
      </w:r>
      <w:r w:rsidRPr="00340794">
        <w:rPr>
          <w:bCs/>
          <w:kern w:val="0"/>
          <w:vertAlign w:val="superscript"/>
        </w:rPr>
        <w:fldChar w:fldCharType="end"/>
      </w:r>
      <w:r w:rsidRPr="00340794">
        <w:rPr>
          <w:bCs/>
        </w:rPr>
        <w:t xml:space="preserve"> but are used less frequently. In the context of this study, despite MAPE values falling below the 10% threshold in every cohort, indicating satisfactory systematic agreement, the values were marginal and approaching the 10% cut-off point (HF: 9.2%, CVD: 9.8%, and Healthy: 9.5%), which may warrant critical appraisal and careful interpretation.</w:t>
      </w:r>
    </w:p>
    <w:p w14:paraId="4A7C8535" w14:textId="77777777" w:rsidR="00B540FB" w:rsidRPr="00340794" w:rsidRDefault="00B540FB" w:rsidP="00B540FB">
      <w:pPr>
        <w:pStyle w:val="AppendixH2"/>
        <w:rPr>
          <w:b w:val="0"/>
          <w:bCs/>
        </w:rPr>
      </w:pPr>
      <w:r w:rsidRPr="00340794">
        <w:rPr>
          <w:b w:val="0"/>
          <w:bCs/>
        </w:rPr>
        <w:t>C.5</w:t>
      </w:r>
      <w:r w:rsidRPr="00340794">
        <w:rPr>
          <w:b w:val="0"/>
          <w:bCs/>
        </w:rPr>
        <w:tab/>
        <w:t>MCID Selection</w:t>
      </w:r>
    </w:p>
    <w:p w14:paraId="260F2011" w14:textId="77777777" w:rsidR="00B540FB" w:rsidRPr="00340794" w:rsidRDefault="00B540FB" w:rsidP="00B540FB">
      <w:pPr>
        <w:rPr>
          <w:bCs/>
        </w:rPr>
      </w:pPr>
      <w:r w:rsidRPr="00340794">
        <w:rPr>
          <w:bCs/>
        </w:rPr>
        <w:t>Although DHT reliability assessment is based on a group of diverse metrics constituting a comprehensive statistical approach, Bland-Altman analysis, which constitutes the main component of agreement assessment, must ultimately yield a dichotomous output on the systematic reliability of a device in clinical research (i.e., reliable or not reliable). This requires setting a clinically relevant threshold appropriate to the specific test and patient population is necessary for the assessment of systematic reliability: the minimal clinically important difference (MCID).</w:t>
      </w:r>
    </w:p>
    <w:p w14:paraId="63A94658" w14:textId="67233F99" w:rsidR="00340794" w:rsidRDefault="00B540FB">
      <w:pPr>
        <w:rPr>
          <w:bCs/>
          <w:kern w:val="0"/>
          <w:vertAlign w:val="superscript"/>
        </w:rPr>
      </w:pPr>
      <w:r w:rsidRPr="00340794">
        <w:rPr>
          <w:bCs/>
        </w:rPr>
        <w:t>This use case investigates the reliability of a device in measuring 6MWD in HF patients, so we selected a MCID appropriate to the task. Of note, the significance of the absolute MCID (in m) is dependent on patient 6MWD, as a 50 m 6MWD difference is not as significant in a patient with a 600 m 6MWD as it is in a patient with a 250 m 6MWD because differences are more significant to HF patients with advanced disease progression and severe symptoms. Hence, the relative MCID (in %), coupled with the relative difference (percentage) variation of the Bland-Altman plot,</w:t>
      </w:r>
      <w:r w:rsidRPr="00340794">
        <w:rPr>
          <w:bCs/>
          <w:kern w:val="0"/>
          <w:vertAlign w:val="superscript"/>
        </w:rPr>
        <w:t xml:space="preserve"> </w:t>
      </w:r>
      <w:r w:rsidRPr="00340794">
        <w:rPr>
          <w:bCs/>
          <w:kern w:val="0"/>
          <w:vertAlign w:val="superscript"/>
        </w:rPr>
        <w:fldChar w:fldCharType="begin"/>
      </w:r>
      <w:r w:rsidR="00340794">
        <w:rPr>
          <w:bCs/>
          <w:kern w:val="0"/>
          <w:vertAlign w:val="superscript"/>
        </w:rPr>
        <w:instrText xml:space="preserve"> ADDIN ZOTERO_ITEM CSL_CITATION {"citationID":"a1uil7sabdp","properties":{"formattedCitation":"\\super 12\\nosupersub{}","plainCitation":"12","noteIndex":0},"citationItems":[{"id":11313,"uris":["http://zotero.org/groups/4465919/items/5USCIKYZ"],"itemData":{"id":11313,"type":"article-journal","abstract":"In a contemporary clinical laboratory it is very common to have to assess the agreement between two quantitative methods of measurement. The correct statistical approach to assess this degree of agreement is not obvious. Correlation and regression studies are frequently proposed. However, correlation studies the relationship between one variable and another, not the differences, and it is not recommended as a method for assessing the comparability between methods. In 1983 Altman and Bland (B&amp;A) proposed an alternative analysis, based on the quantification of the agreement between two quantitative measurements by studying the mean difference and constructing limits of agreement. The B&amp;A plot analysis is a simple way to evaluate a bias between the mean differences, and to estimate an agreement interval, within which 95% of the differences of the second method, compared to the first one, fall. Data can be analyzed both as unit differences plot and as percentage differences plot. The B&amp;A plot method only defines the intervals of agreements, it does not say whether those limits are acceptable or not. Acceptable limits must be defined a priori, based on clinical necessity, biological considerations or other goals. The aim of this article is to provide guidance on the use and interpretation of Bland Altman analysis in method comparison studies.","container-title":"Biochemia Medica","DOI":"10.11613/BM.2015.015","ISSN":"1330-0962","issue":"2","journalAbbreviation":"Biochem Med (Zagreb)","note":"PMID: 26110027\nPMCID: PMC4470095","page":"141-151","source":"PubMed Central","title":"Understanding Bland Altman analysis","volume":"25","author":[{"family":"Giavarina","given":"Davide"}],"issued":{"date-parts":[["2015",6,5]]}}}],"schema":"https://github.com/citation-style-language/schema/raw/master/csl-citation.json"} </w:instrText>
      </w:r>
      <w:r w:rsidRPr="00340794">
        <w:rPr>
          <w:bCs/>
          <w:kern w:val="0"/>
          <w:vertAlign w:val="superscript"/>
        </w:rPr>
        <w:fldChar w:fldCharType="separate"/>
      </w:r>
      <w:r w:rsidR="00340794" w:rsidRPr="00340794">
        <w:rPr>
          <w:kern w:val="0"/>
          <w:vertAlign w:val="superscript"/>
        </w:rPr>
        <w:t>12</w:t>
      </w:r>
      <w:r w:rsidRPr="00340794">
        <w:rPr>
          <w:bCs/>
          <w:kern w:val="0"/>
          <w:vertAlign w:val="superscript"/>
        </w:rPr>
        <w:fldChar w:fldCharType="end"/>
      </w:r>
      <w:r w:rsidRPr="00340794">
        <w:rPr>
          <w:bCs/>
        </w:rPr>
        <w:t xml:space="preserve"> represents a more universal accuracy threshold independent of disease severity, thus providing more relevant insight on device accuracy. Therefore, we set 10% as the clinically relevant threshold for the 6MWD, as it has been proposed as the relevant MCID by the Canadian Heart Failure Society ,</w:t>
      </w:r>
      <w:r w:rsidRPr="00340794">
        <w:rPr>
          <w:bCs/>
        </w:rPr>
        <w:fldChar w:fldCharType="begin"/>
      </w:r>
      <w:r w:rsidR="00340794">
        <w:rPr>
          <w:bCs/>
        </w:rPr>
        <w:instrText xml:space="preserve"> ADDIN ZOTERO_ITEM CSL_CITATION {"citationID":"a24mh47gf8g","properties":{"formattedCitation":"\\super 6\\nosupersub{}","plainCitation":"6","noteIndex":0},"citationItems":[{"id":11096,"uris":["http://zotero.org/groups/4465919/items/WT538J8M"],"itemData":{"id":11096,"type":"article-journal","abstract":"In this document, we propose a universal definition of heart failure (HF) as a clinical syndrome with symptoms and/or signs caused by a structural and/or functional cardiac abnormality and corroborated by elevated natriuretic peptide levels and/or objective evidence of pulmonary or systemic congestion. We also propose revised stages of HF as: At risk for HF (Stage A), Pre-HF (Stage B), Symptomatic HF (Stage C) and Advanced HF (Stage D). Finally, we propose a new and revised classification of HF according to left ventricular ejection fraction (LVEF). This includes HF with reduced ejection fraction (HFrEF): symptomatic HF with LVEF ≤40%; HF with mildly reduced ejection fraction (HFmrEF): symptomatic HF with LVEF 41-49%; HF with preserved ejection fraction (HFpEF): symptomatic HF with LVEF ≥50%; and HF with improved ejection fraction (HFimpEF): symptomatic HF with a baseline LVEF ≤40%, a ≥10 point increase from baseline LVEF, and a second measurement of LVEF &gt; 40%.","container-title":"European Journal of Heart Failure","DOI":"10.1002/ejhf.2115","ISSN":"1879-0844","issue":"3","journalAbbreviation":"Eur J Heart Fail","language":"eng","note":"PMID: 33605000","page":"352-380","source":"PubMed","title":"Universal definition and classification of heart failure: a report of the Heart Failure Society of America, Heart Failure Association of the European Society of Cardiology, Japanese Heart Failure Society and Writing Committee of the Universal Definition of Heart Failure: Endorsed by the Canadian Heart Failure Society, Heart Failure Association of India, Cardiac Society of Australia and New Zealand, and Chinese Heart Failure Association","title-short":"Universal definition and classification of heart failure","volume":"23","author":[{"family":"Bozkurt","given":"Biykem"},{"family":"Coats","given":"Andrew J. S."},{"family":"Tsutsui","given":"Hiroyuki"},{"family":"Abdelhamid","given":"Ca Magdy"},{"family":"Adamopoulos","given":"Stamatis"},{"family":"Albert","given":"Nancy"},{"family":"Anker","given":"Stefan D."},{"family":"Atherton","given":"John"},{"family":"Böhm","given":"Michael"},{"family":"Butler","given":"Javed"},{"family":"Drazner","given":"Mark H."},{"family":"Michael Felker","given":"G."},{"family":"Filippatos","given":"Gerasimos"},{"family":"Fiuzat","given":"Mona"},{"family":"Fonarow","given":"Gregg C."},{"family":"Gomez-Mesa","given":"Juan-Esteban"},{"family":"Heidenreich","given":"Paul"},{"family":"Imamura","given":"Teruhiko"},{"family":"Jankowska","given":"Ewa A."},{"family":"Januzzi","given":"James"},{"family":"Khazanie","given":"Prateeti"},{"family":"Kinugawa","given":"Koichiro"},{"family":"Lam","given":"Carolyn S. P."},{"family":"Matsue","given":"Yuya"},{"family":"Metra","given":"Marco"},{"family":"Ohtani","given":"Tomohito"},{"family":"Francesco Piepoli","given":"Massimo"},{"family":"Ponikowski","given":"Piotr"},{"family":"Rosano","given":"Giuseppe M. C."},{"family":"Sakata","given":"Yasushi"},{"family":"Seferović","given":"Petar"},{"family":"Starling","given":"Randall C."},{"family":"Teerlink","given":"John R."},{"family":"Vardeny","given":"Orly"},{"family":"Yamamoto","given":"Kazuhiro"},{"family":"Yancy","given":"Clyde"},{"family":"Zhang","given":"Jian"},{"family":"Zieroth","given":"Shelley"}],"issued":{"date-parts":[["2021",3]]}}}],"schema":"https://github.com/citation-style-language/schema/raw/master/csl-citation.json"} </w:instrText>
      </w:r>
      <w:r w:rsidRPr="00340794">
        <w:rPr>
          <w:bCs/>
        </w:rPr>
        <w:fldChar w:fldCharType="separate"/>
      </w:r>
      <w:r w:rsidR="00340794" w:rsidRPr="00340794">
        <w:rPr>
          <w:kern w:val="0"/>
          <w:vertAlign w:val="superscript"/>
        </w:rPr>
        <w:t>6</w:t>
      </w:r>
      <w:r w:rsidRPr="00340794">
        <w:rPr>
          <w:bCs/>
        </w:rPr>
        <w:fldChar w:fldCharType="end"/>
      </w:r>
      <w:r w:rsidRPr="00340794">
        <w:rPr>
          <w:bCs/>
        </w:rPr>
        <w:t xml:space="preserve"> as well as the HFC-ARC Panel in the Journal of the American College of Cardiology (JACC).</w:t>
      </w:r>
      <w:r w:rsidRPr="00340794">
        <w:rPr>
          <w:bCs/>
          <w:kern w:val="0"/>
          <w:vertAlign w:val="superscript"/>
        </w:rPr>
        <w:fldChar w:fldCharType="begin"/>
      </w:r>
      <w:r w:rsidR="00340794">
        <w:rPr>
          <w:bCs/>
          <w:kern w:val="0"/>
          <w:vertAlign w:val="superscript"/>
        </w:rPr>
        <w:instrText xml:space="preserve"> ADDIN ZOTERO_ITEM CSL_CITATION {"citationID":"anasvck3b4","properties":{"formattedCitation":"\\super 13\\nosupersub{}","plainCitation":"13","noteIndex":0},"citationItems":[{"id":10952,"uris":["http://zotero.org/groups/4465919/items/F8RGMV97"],"itemData":{"id":10952,"type":"article-journal","abstract":"The Heart Failure Academic Research Consortium is a partnership between the Heart Failure Collaboratory (HFC) and the Academic Research Consortium (ARC) composed of patients, academic investigators from the United States and Europe, the U.S. Food and Drug Administration, the National Institutes of Health, payers, and industry. Members discussed the measure, remote capture, and clinical utility of functional and quality-of-life endpoints for use in clinical trials of heart failure and cardiovascular therapeutics, with the goal of improving the efficiency of heart failure and cardiovascular clinical research, evidence generation, and thereby patient quality of life, functional status, and survival. Assessments of patient-reported outcomes and maximal and submaximal exercise tolerance are standardized and validated, but actigraphy remains inconsistent as a potential endpoint. This paper details those discussions and consensus recommendations.","container-title":"JACC. Heart failure","DOI":"10.1016/j.jchf.2022.09.012","ISSN":"2213-1787","issue":"12","journalAbbreviation":"JACC Heart Fail","language":"eng","note":"PMID: 36456063","page":"889-901","source":"PubMed","title":"Functional and Symptomatic Clinical Trial Endpoints: The HFC-ARC Scientific Expert Panel","title-short":"Functional and Symptomatic Clinical Trial Endpoints","volume":"10","author":[{"family":"Psotka","given":"Mitchell A."},{"family":"Abraham","given":"William T."},{"family":"Fiuzat","given":"Mona"},{"family":"Filippatos","given":"Gerasimos"},{"family":"Lindenfeld","given":"JoAnn"},{"family":"Ahmad","given":"Tariq"},{"family":"Felker","given":"G. Michael"},{"family":"Jacob","given":"Richard"},{"family":"Kitzman","given":"Dalane W."},{"family":"Leifer","given":"Eric S."},{"family":"Lewis","given":"Eldrin F."},{"family":"Mentz","given":"Robert J."},{"family":"Nkulikiyinka","given":"Richard"},{"family":"Ni","given":"Wei"},{"family":"Schaber","given":"Daniel E."},{"family":"Sharma","given":"Abhinav"},{"family":"Solomon","given":"Scott D."},{"family":"Stockbridge","given":"Norman"},{"family":"Teerlink","given":"John R."},{"family":"Unger","given":"Ellis F."},{"family":"Whellan","given":"David J."},{"family":"Wittes","given":"Janet"},{"family":"Anker","given":"Stefan D."},{"family":"O'Connor","given":"Christopher M."}],"issued":{"date-parts":[["2022",12]]}}}],"schema":"https://github.com/citation-style-language/schema/raw/master/csl-citation.json"} </w:instrText>
      </w:r>
      <w:r w:rsidRPr="00340794">
        <w:rPr>
          <w:bCs/>
          <w:kern w:val="0"/>
          <w:vertAlign w:val="superscript"/>
        </w:rPr>
        <w:fldChar w:fldCharType="separate"/>
      </w:r>
      <w:r w:rsidR="00340794" w:rsidRPr="00340794">
        <w:rPr>
          <w:kern w:val="0"/>
          <w:vertAlign w:val="superscript"/>
        </w:rPr>
        <w:t>13</w:t>
      </w:r>
      <w:r w:rsidRPr="00340794">
        <w:rPr>
          <w:bCs/>
          <w:kern w:val="0"/>
          <w:vertAlign w:val="superscript"/>
        </w:rPr>
        <w:fldChar w:fldCharType="end"/>
      </w:r>
    </w:p>
    <w:p w14:paraId="013FF53D" w14:textId="77777777" w:rsidR="00340794" w:rsidRDefault="00340794">
      <w:pPr>
        <w:spacing w:before="0" w:beforeAutospacing="0" w:after="160" w:afterAutospacing="0" w:line="278" w:lineRule="auto"/>
        <w:jc w:val="left"/>
        <w:rPr>
          <w:bCs/>
          <w:kern w:val="0"/>
          <w:vertAlign w:val="superscript"/>
        </w:rPr>
      </w:pPr>
      <w:r>
        <w:rPr>
          <w:bCs/>
          <w:kern w:val="0"/>
          <w:vertAlign w:val="superscript"/>
        </w:rPr>
        <w:br w:type="page"/>
      </w:r>
    </w:p>
    <w:p w14:paraId="507D10F0" w14:textId="75FBFEA1" w:rsidR="00340794" w:rsidRPr="00340794" w:rsidRDefault="00340794" w:rsidP="00340794">
      <w:pPr>
        <w:pStyle w:val="Appendix"/>
      </w:pPr>
      <w:r w:rsidRPr="00340794">
        <w:lastRenderedPageBreak/>
        <w:t>References</w:t>
      </w:r>
    </w:p>
    <w:p w14:paraId="699005EE" w14:textId="77777777" w:rsidR="00340794" w:rsidRPr="00340794" w:rsidRDefault="00340794" w:rsidP="00340794">
      <w:pPr>
        <w:pStyle w:val="Bibliography"/>
      </w:pPr>
      <w:r>
        <w:rPr>
          <w:bCs/>
        </w:rPr>
        <w:fldChar w:fldCharType="begin"/>
      </w:r>
      <w:r>
        <w:rPr>
          <w:bCs/>
        </w:rPr>
        <w:instrText xml:space="preserve"> ADDIN ZOTERO_BIBL {"uncited":[],"omitted":[],"custom":[]} CSL_BIBLIOGRAPHY </w:instrText>
      </w:r>
      <w:r>
        <w:rPr>
          <w:bCs/>
        </w:rPr>
        <w:fldChar w:fldCharType="separate"/>
      </w:r>
      <w:r w:rsidRPr="00340794">
        <w:t>1.</w:t>
      </w:r>
      <w:r w:rsidRPr="00340794">
        <w:tab/>
        <w:t>FDA. Digital Health Technologies for Remote Data Acquisition in Clinical Investigations Guidance for Industry, Investigators, and Other Stakeholders. Published online 2021.</w:t>
      </w:r>
    </w:p>
    <w:p w14:paraId="55407D03" w14:textId="77777777" w:rsidR="00340794" w:rsidRPr="00340794" w:rsidRDefault="00340794" w:rsidP="00340794">
      <w:pPr>
        <w:pStyle w:val="Bibliography"/>
      </w:pPr>
      <w:r w:rsidRPr="00340794">
        <w:t>2.</w:t>
      </w:r>
      <w:r w:rsidRPr="00340794">
        <w:tab/>
        <w:t xml:space="preserve">FDA. Artificial Intelligence and Machine Learning (AI/ML)-Enabled Medical Devices. </w:t>
      </w:r>
      <w:r w:rsidRPr="00340794">
        <w:rPr>
          <w:i/>
          <w:iCs/>
        </w:rPr>
        <w:t>FDA</w:t>
      </w:r>
      <w:r w:rsidRPr="00340794">
        <w:t>. Published online October 5, 2022. Accessed October 3, 2023. https://www.fda.gov/medical-devices/software-medical-device-samd/artificial-intelligence-and-machine-learning-aiml-enabled-medical-devices</w:t>
      </w:r>
    </w:p>
    <w:p w14:paraId="2608B81B" w14:textId="77777777" w:rsidR="00340794" w:rsidRPr="00340794" w:rsidRDefault="00340794" w:rsidP="00340794">
      <w:pPr>
        <w:pStyle w:val="Bibliography"/>
        <w:rPr>
          <w:lang w:val="en-US"/>
        </w:rPr>
      </w:pPr>
      <w:r w:rsidRPr="00340794">
        <w:t>3.</w:t>
      </w:r>
      <w:r w:rsidRPr="00340794">
        <w:tab/>
        <w:t xml:space="preserve">Spertus JA, Birmingham MC, Butler J, et al. Novel Trial Design: CHIEF-HF. </w:t>
      </w:r>
      <w:r w:rsidRPr="00340794">
        <w:rPr>
          <w:i/>
          <w:iCs/>
          <w:lang w:val="en-US"/>
        </w:rPr>
        <w:t>Circ Heart Fail</w:t>
      </w:r>
      <w:r w:rsidRPr="00340794">
        <w:rPr>
          <w:lang w:val="en-US"/>
        </w:rPr>
        <w:t>. 2021;14(3</w:t>
      </w:r>
      <w:proofErr w:type="gramStart"/>
      <w:r w:rsidRPr="00340794">
        <w:rPr>
          <w:lang w:val="en-US"/>
        </w:rPr>
        <w:t>):e</w:t>
      </w:r>
      <w:proofErr w:type="gramEnd"/>
      <w:r w:rsidRPr="00340794">
        <w:rPr>
          <w:lang w:val="en-US"/>
        </w:rPr>
        <w:t>007767. doi:10.1161/CIRCHEARTFAILURE.120.007767</w:t>
      </w:r>
    </w:p>
    <w:p w14:paraId="378B9962" w14:textId="77777777" w:rsidR="00340794" w:rsidRPr="00340794" w:rsidRDefault="00340794" w:rsidP="00340794">
      <w:pPr>
        <w:pStyle w:val="Bibliography"/>
      </w:pPr>
      <w:r w:rsidRPr="00340794">
        <w:rPr>
          <w:lang w:val="en-US"/>
        </w:rPr>
        <w:t>4.</w:t>
      </w:r>
      <w:r w:rsidRPr="00340794">
        <w:rPr>
          <w:lang w:val="en-US"/>
        </w:rPr>
        <w:tab/>
        <w:t xml:space="preserve">Spertus JA, Birmingham MC, Nassif M, et al. </w:t>
      </w:r>
      <w:r w:rsidRPr="00340794">
        <w:t xml:space="preserve">The SGLT2 inhibitor canagliflozin in heart failure: the CHIEF-HF remote, patient-centered randomized trial. </w:t>
      </w:r>
      <w:r w:rsidRPr="00340794">
        <w:rPr>
          <w:i/>
          <w:iCs/>
        </w:rPr>
        <w:t>Nat Med</w:t>
      </w:r>
      <w:r w:rsidRPr="00340794">
        <w:t>. 2022;28(4):809-813. doi:10.1038/s41591-022-01703-8</w:t>
      </w:r>
    </w:p>
    <w:p w14:paraId="01881993" w14:textId="77777777" w:rsidR="00340794" w:rsidRPr="00340794" w:rsidRDefault="00340794" w:rsidP="00340794">
      <w:pPr>
        <w:pStyle w:val="Bibliography"/>
      </w:pPr>
      <w:r w:rsidRPr="00340794">
        <w:t>5.</w:t>
      </w:r>
      <w:r w:rsidRPr="00340794">
        <w:tab/>
        <w:t xml:space="preserve">Chen CC, Barnhart HX. Comparison of ICC and CCC for assessing agreement for data without and with replications. </w:t>
      </w:r>
      <w:r w:rsidRPr="00340794">
        <w:rPr>
          <w:i/>
          <w:iCs/>
        </w:rPr>
        <w:t>Computational Statistics &amp; Data Analysis</w:t>
      </w:r>
      <w:r w:rsidRPr="00340794">
        <w:t>. 2008;53(2):554-564. doi:10.1016/j.csda.2008.09.026</w:t>
      </w:r>
    </w:p>
    <w:p w14:paraId="5D49CF21" w14:textId="77777777" w:rsidR="00340794" w:rsidRPr="00340794" w:rsidRDefault="00340794" w:rsidP="00340794">
      <w:pPr>
        <w:pStyle w:val="Bibliography"/>
      </w:pPr>
      <w:r w:rsidRPr="00340794">
        <w:t>6.</w:t>
      </w:r>
      <w:r w:rsidRPr="00340794">
        <w:tab/>
        <w:t xml:space="preserve">Bozkurt B, Coats AJS, Tsutsui H, et al. Universal definition and classification of heart failure: a report of the Heart Failure Society of America, Heart Failure Association of the European Society of Cardiology, Japanese Heart Failure Society and Writing Committee of the Universal Definition of Heart Failure: Endorsed by the Canadian Heart Failure Society, Heart Failure Association of India, Cardiac Society of Australia and New Zealand, and Chinese Heart Failure Association. </w:t>
      </w:r>
      <w:proofErr w:type="spellStart"/>
      <w:r w:rsidRPr="00340794">
        <w:rPr>
          <w:i/>
          <w:iCs/>
        </w:rPr>
        <w:t>Eur</w:t>
      </w:r>
      <w:proofErr w:type="spellEnd"/>
      <w:r w:rsidRPr="00340794">
        <w:rPr>
          <w:i/>
          <w:iCs/>
        </w:rPr>
        <w:t xml:space="preserve"> J Heart Fail</w:t>
      </w:r>
      <w:r w:rsidRPr="00340794">
        <w:t>. 2021;23(3):352-380. doi:10.1002/ejhf.2115</w:t>
      </w:r>
    </w:p>
    <w:p w14:paraId="739BFDB4" w14:textId="77777777" w:rsidR="00340794" w:rsidRPr="00340794" w:rsidRDefault="00340794" w:rsidP="00340794">
      <w:pPr>
        <w:pStyle w:val="Bibliography"/>
      </w:pPr>
      <w:r w:rsidRPr="00340794">
        <w:t>7.</w:t>
      </w:r>
      <w:r w:rsidRPr="00340794">
        <w:tab/>
      </w:r>
      <w:proofErr w:type="spellStart"/>
      <w:r w:rsidRPr="00340794">
        <w:t>Sevrukov</w:t>
      </w:r>
      <w:proofErr w:type="spellEnd"/>
      <w:r w:rsidRPr="00340794">
        <w:t xml:space="preserve"> AB, Bland JM, Kondos GT. Serial electron beam CT measurements of coronary artery calcium: Has your patient’s calcium score actually changed? </w:t>
      </w:r>
      <w:r w:rsidRPr="00340794">
        <w:rPr>
          <w:i/>
          <w:iCs/>
        </w:rPr>
        <w:t>AJR Am J Roentgenol</w:t>
      </w:r>
      <w:r w:rsidRPr="00340794">
        <w:t>. 2005;185(6):1546-1553. doi:10.2214/AJR.04.1589</w:t>
      </w:r>
    </w:p>
    <w:p w14:paraId="4260CA17" w14:textId="77777777" w:rsidR="00340794" w:rsidRPr="00340794" w:rsidRDefault="00340794" w:rsidP="00340794">
      <w:pPr>
        <w:pStyle w:val="Bibliography"/>
      </w:pPr>
      <w:r w:rsidRPr="00340794">
        <w:t>8.</w:t>
      </w:r>
      <w:r w:rsidRPr="00340794">
        <w:tab/>
        <w:t xml:space="preserve">Nelson MB, Kaminsky LA, Dickin DC, </w:t>
      </w:r>
      <w:proofErr w:type="spellStart"/>
      <w:r w:rsidRPr="00340794">
        <w:t>Montoye</w:t>
      </w:r>
      <w:proofErr w:type="spellEnd"/>
      <w:r w:rsidRPr="00340794">
        <w:t xml:space="preserve"> AHK. Validity of Consumer-Based Physical Activity Monitors for Specific Activity Types. </w:t>
      </w:r>
      <w:r w:rsidRPr="00340794">
        <w:rPr>
          <w:i/>
          <w:iCs/>
        </w:rPr>
        <w:t>Medicine &amp; Science in Sports &amp; Exercise</w:t>
      </w:r>
      <w:r w:rsidRPr="00340794">
        <w:t>. 2016;48(8):1619-1628. doi:10.1249/MSS.0000000000000933</w:t>
      </w:r>
    </w:p>
    <w:p w14:paraId="1635BD2F" w14:textId="77777777" w:rsidR="00340794" w:rsidRPr="00340794" w:rsidRDefault="00340794" w:rsidP="00340794">
      <w:pPr>
        <w:pStyle w:val="Bibliography"/>
      </w:pPr>
      <w:r w:rsidRPr="00340794">
        <w:t>9.</w:t>
      </w:r>
      <w:r w:rsidRPr="00340794">
        <w:tab/>
        <w:t xml:space="preserve">Boudreaux BD, Hebert EP, Hollander DB, et al. Validity of Wearable Activity Monitors during Cycling and Resistance Exercise. </w:t>
      </w:r>
      <w:r w:rsidRPr="00340794">
        <w:rPr>
          <w:i/>
          <w:iCs/>
        </w:rPr>
        <w:t>Medicine &amp; Science in Sports &amp; Exercise</w:t>
      </w:r>
      <w:r w:rsidRPr="00340794">
        <w:t>. 2018;50(3):624-633. doi:10.1249/MSS.0000000000001471</w:t>
      </w:r>
    </w:p>
    <w:p w14:paraId="26A76BF9" w14:textId="77777777" w:rsidR="00340794" w:rsidRPr="00340794" w:rsidRDefault="00340794" w:rsidP="00340794">
      <w:pPr>
        <w:pStyle w:val="Bibliography"/>
      </w:pPr>
      <w:r w:rsidRPr="00340794">
        <w:t>10.</w:t>
      </w:r>
      <w:r w:rsidRPr="00340794">
        <w:tab/>
      </w:r>
      <w:proofErr w:type="spellStart"/>
      <w:r w:rsidRPr="00340794">
        <w:t>Vetrovsky</w:t>
      </w:r>
      <w:proofErr w:type="spellEnd"/>
      <w:r w:rsidRPr="00340794">
        <w:t xml:space="preserve"> T, </w:t>
      </w:r>
      <w:proofErr w:type="spellStart"/>
      <w:r w:rsidRPr="00340794">
        <w:t>Siranec</w:t>
      </w:r>
      <w:proofErr w:type="spellEnd"/>
      <w:r w:rsidRPr="00340794">
        <w:t xml:space="preserve"> M, </w:t>
      </w:r>
      <w:proofErr w:type="spellStart"/>
      <w:r w:rsidRPr="00340794">
        <w:t>Marencakova</w:t>
      </w:r>
      <w:proofErr w:type="spellEnd"/>
      <w:r w:rsidRPr="00340794">
        <w:t xml:space="preserve"> J. Validity of six consumer-level activity monitors for measuring steps in patients with chronic heart failure. </w:t>
      </w:r>
      <w:proofErr w:type="spellStart"/>
      <w:r w:rsidRPr="00340794">
        <w:rPr>
          <w:i/>
          <w:iCs/>
        </w:rPr>
        <w:t>PloS</w:t>
      </w:r>
      <w:proofErr w:type="spellEnd"/>
      <w:r w:rsidRPr="00340794">
        <w:rPr>
          <w:i/>
          <w:iCs/>
        </w:rPr>
        <w:t xml:space="preserve"> One</w:t>
      </w:r>
      <w:r w:rsidRPr="00340794">
        <w:t>. 2019;14(9). doi:10.1371/journal.pone.0222569</w:t>
      </w:r>
    </w:p>
    <w:p w14:paraId="7FE5F643" w14:textId="77777777" w:rsidR="00340794" w:rsidRPr="00340794" w:rsidRDefault="00340794" w:rsidP="00340794">
      <w:pPr>
        <w:pStyle w:val="Bibliography"/>
      </w:pPr>
      <w:r w:rsidRPr="00340794">
        <w:lastRenderedPageBreak/>
        <w:t>11.</w:t>
      </w:r>
      <w:r w:rsidRPr="00340794">
        <w:tab/>
      </w:r>
      <w:proofErr w:type="spellStart"/>
      <w:r w:rsidRPr="00340794">
        <w:t>Fokkema</w:t>
      </w:r>
      <w:proofErr w:type="spellEnd"/>
      <w:r w:rsidRPr="00340794">
        <w:t xml:space="preserve"> T, Kooiman TJM, Krijnen WP, </w:t>
      </w:r>
      <w:proofErr w:type="spellStart"/>
      <w:r w:rsidRPr="00340794">
        <w:t>Schans</w:t>
      </w:r>
      <w:proofErr w:type="spellEnd"/>
      <w:r w:rsidRPr="00340794">
        <w:t xml:space="preserve"> VANDER, CP DEG, M. Reliability and Validity of Ten Consumer Activity Trackers Depend on Walking Speed. </w:t>
      </w:r>
      <w:r w:rsidRPr="00340794">
        <w:rPr>
          <w:i/>
          <w:iCs/>
        </w:rPr>
        <w:t xml:space="preserve">Med Sci Sports </w:t>
      </w:r>
      <w:proofErr w:type="spellStart"/>
      <w:r w:rsidRPr="00340794">
        <w:rPr>
          <w:i/>
          <w:iCs/>
        </w:rPr>
        <w:t>Exerc</w:t>
      </w:r>
      <w:proofErr w:type="spellEnd"/>
      <w:r w:rsidRPr="00340794">
        <w:t>. 2017;49(4):793-800. doi:10.1249/MSS.0000000000001146</w:t>
      </w:r>
    </w:p>
    <w:p w14:paraId="34255B22" w14:textId="77777777" w:rsidR="00340794" w:rsidRPr="00340794" w:rsidRDefault="00340794" w:rsidP="00340794">
      <w:pPr>
        <w:pStyle w:val="Bibliography"/>
      </w:pPr>
      <w:r w:rsidRPr="00340794">
        <w:t>12.</w:t>
      </w:r>
      <w:r w:rsidRPr="00340794">
        <w:tab/>
      </w:r>
      <w:proofErr w:type="spellStart"/>
      <w:r w:rsidRPr="00340794">
        <w:t>Giavarina</w:t>
      </w:r>
      <w:proofErr w:type="spellEnd"/>
      <w:r w:rsidRPr="00340794">
        <w:t xml:space="preserve"> D. Understanding Bland Altman analysis. </w:t>
      </w:r>
      <w:proofErr w:type="spellStart"/>
      <w:r w:rsidRPr="00340794">
        <w:rPr>
          <w:i/>
          <w:iCs/>
        </w:rPr>
        <w:t>Biochem</w:t>
      </w:r>
      <w:proofErr w:type="spellEnd"/>
      <w:r w:rsidRPr="00340794">
        <w:rPr>
          <w:i/>
          <w:iCs/>
        </w:rPr>
        <w:t xml:space="preserve"> Med (Zagreb)</w:t>
      </w:r>
      <w:r w:rsidRPr="00340794">
        <w:t>. 2015;25(2):141-151. doi:10.11613/BM.2015.015</w:t>
      </w:r>
    </w:p>
    <w:p w14:paraId="1825E552" w14:textId="77777777" w:rsidR="00340794" w:rsidRPr="00340794" w:rsidRDefault="00340794" w:rsidP="00340794">
      <w:pPr>
        <w:pStyle w:val="Bibliography"/>
      </w:pPr>
      <w:r w:rsidRPr="00340794">
        <w:rPr>
          <w:lang w:val="fr-CA"/>
        </w:rPr>
        <w:t>13.</w:t>
      </w:r>
      <w:r w:rsidRPr="00340794">
        <w:rPr>
          <w:lang w:val="fr-CA"/>
        </w:rPr>
        <w:tab/>
      </w:r>
      <w:proofErr w:type="spellStart"/>
      <w:r w:rsidRPr="00340794">
        <w:rPr>
          <w:lang w:val="fr-CA"/>
        </w:rPr>
        <w:t>Psotka</w:t>
      </w:r>
      <w:proofErr w:type="spellEnd"/>
      <w:r w:rsidRPr="00340794">
        <w:rPr>
          <w:lang w:val="fr-CA"/>
        </w:rPr>
        <w:t xml:space="preserve"> MA, Abraham WT, </w:t>
      </w:r>
      <w:proofErr w:type="spellStart"/>
      <w:r w:rsidRPr="00340794">
        <w:rPr>
          <w:lang w:val="fr-CA"/>
        </w:rPr>
        <w:t>Fiuzat</w:t>
      </w:r>
      <w:proofErr w:type="spellEnd"/>
      <w:r w:rsidRPr="00340794">
        <w:rPr>
          <w:lang w:val="fr-CA"/>
        </w:rPr>
        <w:t xml:space="preserve"> M, et al. </w:t>
      </w:r>
      <w:r w:rsidRPr="00340794">
        <w:t xml:space="preserve">Functional and Symptomatic Clinical Trial Endpoints: The HFC-ARC Scientific Expert Panel. </w:t>
      </w:r>
      <w:r w:rsidRPr="00340794">
        <w:rPr>
          <w:i/>
          <w:iCs/>
        </w:rPr>
        <w:t>JACC Heart Fail</w:t>
      </w:r>
      <w:r w:rsidRPr="00340794">
        <w:t>. 2022;10(12):889-901. doi:10.1016/j.jchf.2022.09.012</w:t>
      </w:r>
    </w:p>
    <w:p w14:paraId="6E68510E" w14:textId="7C57FE20" w:rsidR="00B540FB" w:rsidRPr="00340794" w:rsidRDefault="00340794">
      <w:pPr>
        <w:rPr>
          <w:bCs/>
        </w:rPr>
      </w:pPr>
      <w:r>
        <w:rPr>
          <w:bCs/>
        </w:rPr>
        <w:fldChar w:fldCharType="end"/>
      </w:r>
    </w:p>
    <w:sectPr w:rsidR="00B540FB" w:rsidRPr="0034079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Psotka, Mitchell" w:date="2025-02-13T00:13:00Z" w:initials="MP">
    <w:p w14:paraId="21EB3FED" w14:textId="77777777" w:rsidR="00B540FB" w:rsidRDefault="00B540FB" w:rsidP="00B540FB">
      <w:pPr>
        <w:pStyle w:val="CommentText"/>
        <w:jc w:val="left"/>
      </w:pPr>
      <w:r>
        <w:rPr>
          <w:rStyle w:val="CommentReference"/>
        </w:rPr>
        <w:annotationRef/>
      </w:r>
      <w:r>
        <w:t>font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EB3FE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A9EC22" w16cex:dateUtc="2025-02-13T0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EB3FED" w16cid:durableId="4EA9EC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1DE7B" w14:textId="77777777" w:rsidR="0089120C" w:rsidRDefault="0089120C" w:rsidP="00B66C27">
      <w:pPr>
        <w:spacing w:before="0" w:after="0" w:line="240" w:lineRule="auto"/>
      </w:pPr>
      <w:r>
        <w:separator/>
      </w:r>
    </w:p>
  </w:endnote>
  <w:endnote w:type="continuationSeparator" w:id="0">
    <w:p w14:paraId="7035D8AC" w14:textId="77777777" w:rsidR="0089120C" w:rsidRDefault="0089120C" w:rsidP="00B66C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AF01A" w14:textId="77777777" w:rsidR="0089120C" w:rsidRDefault="0089120C" w:rsidP="00B66C27">
      <w:pPr>
        <w:spacing w:before="0" w:after="0" w:line="240" w:lineRule="auto"/>
      </w:pPr>
      <w:r>
        <w:separator/>
      </w:r>
    </w:p>
  </w:footnote>
  <w:footnote w:type="continuationSeparator" w:id="0">
    <w:p w14:paraId="1EA118B4" w14:textId="77777777" w:rsidR="0089120C" w:rsidRDefault="0089120C" w:rsidP="00B66C27">
      <w:pPr>
        <w:spacing w:before="0"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sotka, Mitchell">
    <w15:presenceInfo w15:providerId="AD" w15:userId="S::Mitchell.Psotka@inova.org::532a1792-f64e-409e-af29-2f1ed98588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FB"/>
    <w:rsid w:val="00162F62"/>
    <w:rsid w:val="00340794"/>
    <w:rsid w:val="003E2227"/>
    <w:rsid w:val="0089120C"/>
    <w:rsid w:val="00B540FB"/>
    <w:rsid w:val="00B66C27"/>
    <w:rsid w:val="00FC5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07BC"/>
  <w15:chartTrackingRefBased/>
  <w15:docId w15:val="{9A747E89-7013-4383-9EEC-971F5933D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0FB"/>
    <w:pPr>
      <w:spacing w:before="100" w:beforeAutospacing="1" w:after="100" w:afterAutospacing="1" w:line="360" w:lineRule="auto"/>
      <w:jc w:val="both"/>
    </w:pPr>
    <w:rPr>
      <w:rFonts w:ascii="Times New Roman" w:hAnsi="Times New Roman" w:cs="Times New Roman"/>
      <w:lang w:val="en-CA"/>
    </w:rPr>
  </w:style>
  <w:style w:type="paragraph" w:styleId="Heading1">
    <w:name w:val="heading 1"/>
    <w:basedOn w:val="Normal"/>
    <w:next w:val="Normal"/>
    <w:link w:val="Heading1Char"/>
    <w:uiPriority w:val="9"/>
    <w:qFormat/>
    <w:rsid w:val="00B540FB"/>
    <w:pPr>
      <w:keepNext/>
      <w:keepLines/>
      <w:spacing w:before="360" w:beforeAutospacing="0" w:after="80" w:afterAutospacing="0" w:line="278" w:lineRule="auto"/>
      <w:jc w:val="left"/>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unhideWhenUsed/>
    <w:qFormat/>
    <w:rsid w:val="00B540FB"/>
    <w:pPr>
      <w:keepNext/>
      <w:keepLines/>
      <w:spacing w:before="160" w:beforeAutospacing="0" w:after="80" w:afterAutospacing="0" w:line="278" w:lineRule="auto"/>
      <w:jc w:val="left"/>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B540FB"/>
    <w:pPr>
      <w:keepNext/>
      <w:keepLines/>
      <w:spacing w:before="160" w:beforeAutospacing="0" w:after="80" w:afterAutospacing="0" w:line="278" w:lineRule="auto"/>
      <w:jc w:val="left"/>
      <w:outlineLvl w:val="2"/>
    </w:pPr>
    <w:rPr>
      <w:rFonts w:asciiTheme="minorHAnsi" w:eastAsiaTheme="majorEastAsia" w:hAnsiTheme="minorHAnsi"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B540FB"/>
    <w:pPr>
      <w:keepNext/>
      <w:keepLines/>
      <w:spacing w:before="80" w:beforeAutospacing="0" w:after="40" w:afterAutospacing="0" w:line="278" w:lineRule="auto"/>
      <w:jc w:val="left"/>
      <w:outlineLvl w:val="3"/>
    </w:pPr>
    <w:rPr>
      <w:rFonts w:asciiTheme="minorHAnsi" w:eastAsiaTheme="majorEastAsia" w:hAnsiTheme="minorHAnsi" w:cstheme="majorBidi"/>
      <w:i/>
      <w:iCs/>
      <w:color w:val="0F4761" w:themeColor="accent1" w:themeShade="BF"/>
      <w:lang w:val="en-US"/>
    </w:rPr>
  </w:style>
  <w:style w:type="paragraph" w:styleId="Heading5">
    <w:name w:val="heading 5"/>
    <w:basedOn w:val="Normal"/>
    <w:next w:val="Normal"/>
    <w:link w:val="Heading5Char"/>
    <w:uiPriority w:val="9"/>
    <w:semiHidden/>
    <w:unhideWhenUsed/>
    <w:qFormat/>
    <w:rsid w:val="00B540FB"/>
    <w:pPr>
      <w:keepNext/>
      <w:keepLines/>
      <w:spacing w:before="80" w:beforeAutospacing="0" w:after="40" w:afterAutospacing="0" w:line="278" w:lineRule="auto"/>
      <w:jc w:val="left"/>
      <w:outlineLvl w:val="4"/>
    </w:pPr>
    <w:rPr>
      <w:rFonts w:asciiTheme="minorHAnsi" w:eastAsiaTheme="majorEastAsia" w:hAnsiTheme="minorHAnsi" w:cstheme="majorBidi"/>
      <w:color w:val="0F4761" w:themeColor="accent1" w:themeShade="BF"/>
      <w:lang w:val="en-US"/>
    </w:rPr>
  </w:style>
  <w:style w:type="paragraph" w:styleId="Heading6">
    <w:name w:val="heading 6"/>
    <w:basedOn w:val="Normal"/>
    <w:next w:val="Normal"/>
    <w:link w:val="Heading6Char"/>
    <w:uiPriority w:val="9"/>
    <w:semiHidden/>
    <w:unhideWhenUsed/>
    <w:qFormat/>
    <w:rsid w:val="00B540FB"/>
    <w:pPr>
      <w:keepNext/>
      <w:keepLines/>
      <w:spacing w:before="40" w:beforeAutospacing="0" w:after="0" w:afterAutospacing="0" w:line="278" w:lineRule="auto"/>
      <w:jc w:val="left"/>
      <w:outlineLvl w:val="5"/>
    </w:pPr>
    <w:rPr>
      <w:rFonts w:asciiTheme="minorHAnsi" w:eastAsiaTheme="majorEastAsia" w:hAnsiTheme="minorHAnsi"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B540FB"/>
    <w:pPr>
      <w:keepNext/>
      <w:keepLines/>
      <w:spacing w:before="40" w:beforeAutospacing="0" w:after="0" w:afterAutospacing="0" w:line="278" w:lineRule="auto"/>
      <w:jc w:val="left"/>
      <w:outlineLvl w:val="6"/>
    </w:pPr>
    <w:rPr>
      <w:rFonts w:asciiTheme="minorHAnsi" w:eastAsiaTheme="majorEastAsia" w:hAnsiTheme="minorHAnsi"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B540FB"/>
    <w:pPr>
      <w:keepNext/>
      <w:keepLines/>
      <w:spacing w:before="0" w:beforeAutospacing="0" w:after="0" w:afterAutospacing="0" w:line="278" w:lineRule="auto"/>
      <w:jc w:val="left"/>
      <w:outlineLvl w:val="7"/>
    </w:pPr>
    <w:rPr>
      <w:rFonts w:asciiTheme="minorHAnsi" w:eastAsiaTheme="majorEastAsia" w:hAnsiTheme="minorHAnsi"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B540FB"/>
    <w:pPr>
      <w:keepNext/>
      <w:keepLines/>
      <w:spacing w:before="0" w:beforeAutospacing="0" w:after="0" w:afterAutospacing="0" w:line="278" w:lineRule="auto"/>
      <w:jc w:val="left"/>
      <w:outlineLvl w:val="8"/>
    </w:pPr>
    <w:rPr>
      <w:rFonts w:asciiTheme="minorHAnsi" w:eastAsiaTheme="majorEastAsia" w:hAnsiTheme="minorHAnsi"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4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0FB"/>
    <w:rPr>
      <w:rFonts w:eastAsiaTheme="majorEastAsia" w:cstheme="majorBidi"/>
      <w:color w:val="272727" w:themeColor="text1" w:themeTint="D8"/>
    </w:rPr>
  </w:style>
  <w:style w:type="paragraph" w:styleId="Title">
    <w:name w:val="Title"/>
    <w:basedOn w:val="Normal"/>
    <w:next w:val="Normal"/>
    <w:link w:val="TitleChar"/>
    <w:uiPriority w:val="10"/>
    <w:qFormat/>
    <w:rsid w:val="00B540FB"/>
    <w:pPr>
      <w:spacing w:before="0" w:beforeAutospacing="0" w:after="80" w:afterAutospacing="0" w:line="240" w:lineRule="auto"/>
      <w:contextualSpacing/>
      <w:jc w:val="left"/>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B54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0FB"/>
    <w:pPr>
      <w:numPr>
        <w:ilvl w:val="1"/>
      </w:numPr>
      <w:spacing w:before="0" w:beforeAutospacing="0" w:after="160" w:afterAutospacing="0" w:line="278" w:lineRule="auto"/>
      <w:jc w:val="left"/>
    </w:pPr>
    <w:rPr>
      <w:rFonts w:asciiTheme="minorHAnsi" w:eastAsiaTheme="majorEastAsia" w:hAnsiTheme="minorHAnsi"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B54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0FB"/>
    <w:pPr>
      <w:spacing w:before="160" w:beforeAutospacing="0" w:after="160" w:afterAutospacing="0" w:line="278" w:lineRule="auto"/>
      <w:jc w:val="center"/>
    </w:pPr>
    <w:rPr>
      <w:rFonts w:asciiTheme="minorHAnsi" w:hAnsiTheme="minorHAnsi" w:cstheme="minorBidi"/>
      <w:i/>
      <w:iCs/>
      <w:color w:val="404040" w:themeColor="text1" w:themeTint="BF"/>
      <w:lang w:val="en-US"/>
    </w:rPr>
  </w:style>
  <w:style w:type="character" w:customStyle="1" w:styleId="QuoteChar">
    <w:name w:val="Quote Char"/>
    <w:basedOn w:val="DefaultParagraphFont"/>
    <w:link w:val="Quote"/>
    <w:uiPriority w:val="29"/>
    <w:rsid w:val="00B540FB"/>
    <w:rPr>
      <w:i/>
      <w:iCs/>
      <w:color w:val="404040" w:themeColor="text1" w:themeTint="BF"/>
    </w:rPr>
  </w:style>
  <w:style w:type="paragraph" w:styleId="ListParagraph">
    <w:name w:val="List Paragraph"/>
    <w:basedOn w:val="Normal"/>
    <w:uiPriority w:val="34"/>
    <w:qFormat/>
    <w:rsid w:val="00B540FB"/>
    <w:pPr>
      <w:spacing w:before="0" w:beforeAutospacing="0" w:after="160" w:afterAutospacing="0" w:line="278" w:lineRule="auto"/>
      <w:ind w:left="720"/>
      <w:contextualSpacing/>
      <w:jc w:val="left"/>
    </w:pPr>
    <w:rPr>
      <w:rFonts w:asciiTheme="minorHAnsi" w:hAnsiTheme="minorHAnsi" w:cstheme="minorBidi"/>
      <w:lang w:val="en-US"/>
    </w:rPr>
  </w:style>
  <w:style w:type="character" w:styleId="IntenseEmphasis">
    <w:name w:val="Intense Emphasis"/>
    <w:basedOn w:val="DefaultParagraphFont"/>
    <w:uiPriority w:val="21"/>
    <w:qFormat/>
    <w:rsid w:val="00B540FB"/>
    <w:rPr>
      <w:i/>
      <w:iCs/>
      <w:color w:val="0F4761" w:themeColor="accent1" w:themeShade="BF"/>
    </w:rPr>
  </w:style>
  <w:style w:type="paragraph" w:styleId="IntenseQuote">
    <w:name w:val="Intense Quote"/>
    <w:basedOn w:val="Normal"/>
    <w:next w:val="Normal"/>
    <w:link w:val="IntenseQuoteChar"/>
    <w:uiPriority w:val="30"/>
    <w:qFormat/>
    <w:rsid w:val="00B540FB"/>
    <w:pPr>
      <w:pBdr>
        <w:top w:val="single" w:sz="4" w:space="10" w:color="0F4761" w:themeColor="accent1" w:themeShade="BF"/>
        <w:bottom w:val="single" w:sz="4" w:space="10" w:color="0F4761" w:themeColor="accent1" w:themeShade="BF"/>
      </w:pBdr>
      <w:spacing w:before="360" w:beforeAutospacing="0" w:after="360" w:afterAutospacing="0" w:line="278" w:lineRule="auto"/>
      <w:ind w:left="864" w:right="864"/>
      <w:jc w:val="center"/>
    </w:pPr>
    <w:rPr>
      <w:rFonts w:asciiTheme="minorHAnsi" w:hAnsiTheme="minorHAnsi" w:cstheme="minorBidi"/>
      <w:i/>
      <w:iCs/>
      <w:color w:val="0F4761" w:themeColor="accent1" w:themeShade="BF"/>
      <w:lang w:val="en-US"/>
    </w:rPr>
  </w:style>
  <w:style w:type="character" w:customStyle="1" w:styleId="IntenseQuoteChar">
    <w:name w:val="Intense Quote Char"/>
    <w:basedOn w:val="DefaultParagraphFont"/>
    <w:link w:val="IntenseQuote"/>
    <w:uiPriority w:val="30"/>
    <w:rsid w:val="00B540FB"/>
    <w:rPr>
      <w:i/>
      <w:iCs/>
      <w:color w:val="0F4761" w:themeColor="accent1" w:themeShade="BF"/>
    </w:rPr>
  </w:style>
  <w:style w:type="character" w:styleId="IntenseReference">
    <w:name w:val="Intense Reference"/>
    <w:basedOn w:val="DefaultParagraphFont"/>
    <w:uiPriority w:val="32"/>
    <w:qFormat/>
    <w:rsid w:val="00B540FB"/>
    <w:rPr>
      <w:b/>
      <w:bCs/>
      <w:smallCaps/>
      <w:color w:val="0F4761" w:themeColor="accent1" w:themeShade="BF"/>
      <w:spacing w:val="5"/>
    </w:rPr>
  </w:style>
  <w:style w:type="character" w:styleId="CommentReference">
    <w:name w:val="annotation reference"/>
    <w:basedOn w:val="DefaultParagraphFont"/>
    <w:uiPriority w:val="99"/>
    <w:semiHidden/>
    <w:unhideWhenUsed/>
    <w:rsid w:val="00B540FB"/>
    <w:rPr>
      <w:sz w:val="16"/>
      <w:szCs w:val="16"/>
    </w:rPr>
  </w:style>
  <w:style w:type="paragraph" w:styleId="CommentText">
    <w:name w:val="annotation text"/>
    <w:basedOn w:val="Normal"/>
    <w:link w:val="CommentTextChar"/>
    <w:uiPriority w:val="99"/>
    <w:unhideWhenUsed/>
    <w:rsid w:val="00B540FB"/>
    <w:rPr>
      <w:sz w:val="20"/>
      <w:szCs w:val="20"/>
    </w:rPr>
  </w:style>
  <w:style w:type="character" w:customStyle="1" w:styleId="CommentTextChar">
    <w:name w:val="Comment Text Char"/>
    <w:basedOn w:val="DefaultParagraphFont"/>
    <w:link w:val="CommentText"/>
    <w:uiPriority w:val="99"/>
    <w:rsid w:val="00B540FB"/>
    <w:rPr>
      <w:rFonts w:ascii="Times New Roman" w:hAnsi="Times New Roman" w:cs="Times New Roman"/>
      <w:sz w:val="20"/>
      <w:szCs w:val="20"/>
      <w:lang w:val="en-CA"/>
    </w:rPr>
  </w:style>
  <w:style w:type="character" w:styleId="Strong">
    <w:name w:val="Strong"/>
    <w:uiPriority w:val="22"/>
    <w:qFormat/>
    <w:rsid w:val="00B540FB"/>
  </w:style>
  <w:style w:type="paragraph" w:customStyle="1" w:styleId="Appendix">
    <w:name w:val="Appendix"/>
    <w:basedOn w:val="Heading1"/>
    <w:link w:val="AppendixChar"/>
    <w:qFormat/>
    <w:rsid w:val="00340794"/>
    <w:pPr>
      <w:spacing w:before="240" w:beforeAutospacing="1" w:after="0" w:afterAutospacing="1" w:line="360" w:lineRule="auto"/>
      <w:jc w:val="both"/>
    </w:pPr>
    <w:rPr>
      <w:rFonts w:ascii="Times New Roman" w:hAnsi="Times New Roman"/>
      <w:b/>
      <w:sz w:val="48"/>
      <w:szCs w:val="52"/>
      <w:vertAlign w:val="superscript"/>
      <w:lang w:val="en-CA"/>
    </w:rPr>
  </w:style>
  <w:style w:type="character" w:customStyle="1" w:styleId="AppendixChar">
    <w:name w:val="Appendix Char"/>
    <w:basedOn w:val="Heading1Char"/>
    <w:link w:val="Appendix"/>
    <w:rsid w:val="00340794"/>
    <w:rPr>
      <w:rFonts w:ascii="Times New Roman" w:eastAsiaTheme="majorEastAsia" w:hAnsi="Times New Roman" w:cstheme="majorBidi"/>
      <w:b/>
      <w:color w:val="0F4761" w:themeColor="accent1" w:themeShade="BF"/>
      <w:sz w:val="48"/>
      <w:szCs w:val="52"/>
      <w:vertAlign w:val="superscript"/>
      <w:lang w:val="en-CA"/>
    </w:rPr>
  </w:style>
  <w:style w:type="paragraph" w:customStyle="1" w:styleId="AppendixH1">
    <w:name w:val="AppendixH1"/>
    <w:basedOn w:val="Heading1"/>
    <w:link w:val="AppendixH1Char"/>
    <w:qFormat/>
    <w:rsid w:val="00B540FB"/>
    <w:pPr>
      <w:spacing w:before="240" w:beforeAutospacing="1" w:after="0" w:afterAutospacing="1" w:line="360" w:lineRule="auto"/>
      <w:jc w:val="both"/>
    </w:pPr>
    <w:rPr>
      <w:rFonts w:ascii="Times New Roman" w:hAnsi="Times New Roman"/>
      <w:b/>
      <w:color w:val="auto"/>
      <w:sz w:val="28"/>
      <w:szCs w:val="32"/>
      <w:lang w:val="en-CA"/>
    </w:rPr>
  </w:style>
  <w:style w:type="character" w:customStyle="1" w:styleId="AppendixH1Char">
    <w:name w:val="AppendixH1 Char"/>
    <w:basedOn w:val="DefaultParagraphFont"/>
    <w:link w:val="AppendixH1"/>
    <w:rsid w:val="00B540FB"/>
    <w:rPr>
      <w:rFonts w:ascii="Times New Roman" w:eastAsiaTheme="majorEastAsia" w:hAnsi="Times New Roman" w:cstheme="majorBidi"/>
      <w:b/>
      <w:sz w:val="28"/>
      <w:szCs w:val="32"/>
      <w:lang w:val="en-CA"/>
    </w:rPr>
  </w:style>
  <w:style w:type="paragraph" w:customStyle="1" w:styleId="AppendixH2">
    <w:name w:val="AppendixH2"/>
    <w:basedOn w:val="Heading2"/>
    <w:link w:val="AppendixH2Char"/>
    <w:qFormat/>
    <w:rsid w:val="00B540FB"/>
    <w:pPr>
      <w:spacing w:before="40" w:beforeAutospacing="1" w:after="0" w:afterAutospacing="1" w:line="360" w:lineRule="auto"/>
      <w:ind w:left="576" w:hanging="576"/>
      <w:jc w:val="both"/>
    </w:pPr>
    <w:rPr>
      <w:rFonts w:ascii="Times New Roman" w:hAnsi="Times New Roman"/>
      <w:b/>
      <w:color w:val="auto"/>
      <w:sz w:val="28"/>
      <w:szCs w:val="26"/>
      <w:lang w:val="en-CA"/>
    </w:rPr>
  </w:style>
  <w:style w:type="character" w:customStyle="1" w:styleId="AppendixH2Char">
    <w:name w:val="AppendixH2 Char"/>
    <w:basedOn w:val="AppendixH1Char"/>
    <w:link w:val="AppendixH2"/>
    <w:rsid w:val="00B540FB"/>
    <w:rPr>
      <w:rFonts w:ascii="Times New Roman" w:eastAsiaTheme="majorEastAsia" w:hAnsi="Times New Roman" w:cstheme="majorBidi"/>
      <w:b/>
      <w:sz w:val="28"/>
      <w:szCs w:val="26"/>
      <w:lang w:val="en-CA"/>
    </w:rPr>
  </w:style>
  <w:style w:type="paragraph" w:styleId="Header">
    <w:name w:val="header"/>
    <w:basedOn w:val="Normal"/>
    <w:link w:val="HeaderChar"/>
    <w:uiPriority w:val="99"/>
    <w:unhideWhenUsed/>
    <w:rsid w:val="00B66C2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66C27"/>
    <w:rPr>
      <w:rFonts w:ascii="Times New Roman" w:hAnsi="Times New Roman" w:cs="Times New Roman"/>
      <w:lang w:val="en-CA"/>
    </w:rPr>
  </w:style>
  <w:style w:type="paragraph" w:styleId="Footer">
    <w:name w:val="footer"/>
    <w:basedOn w:val="Normal"/>
    <w:link w:val="FooterChar"/>
    <w:uiPriority w:val="99"/>
    <w:unhideWhenUsed/>
    <w:rsid w:val="00B66C2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66C27"/>
    <w:rPr>
      <w:rFonts w:ascii="Times New Roman" w:hAnsi="Times New Roman" w:cs="Times New Roman"/>
      <w:lang w:val="en-CA"/>
    </w:rPr>
  </w:style>
  <w:style w:type="paragraph" w:styleId="Bibliography">
    <w:name w:val="Bibliography"/>
    <w:basedOn w:val="Normal"/>
    <w:next w:val="Normal"/>
    <w:uiPriority w:val="37"/>
    <w:unhideWhenUsed/>
    <w:rsid w:val="00340794"/>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17A0084A97484FB2A7DFEB15864649" ma:contentTypeVersion="18" ma:contentTypeDescription="Create a new document." ma:contentTypeScope="" ma:versionID="98d9001cc4a9989c3f1180f9f3f73bc2">
  <xsd:schema xmlns:xsd="http://www.w3.org/2001/XMLSchema" xmlns:xs="http://www.w3.org/2001/XMLSchema" xmlns:p="http://schemas.microsoft.com/office/2006/metadata/properties" xmlns:ns2="391f9b5e-f363-483f-89fc-42f76d613934" xmlns:ns3="0e7057e7-c24e-49c8-908a-0f06d41b4d81" targetNamespace="http://schemas.microsoft.com/office/2006/metadata/properties" ma:root="true" ma:fieldsID="655e5082863b78e597295c134bc86dc5" ns2:_="" ns3:_="">
    <xsd:import namespace="391f9b5e-f363-483f-89fc-42f76d613934"/>
    <xsd:import namespace="0e7057e7-c24e-49c8-908a-0f06d41b4d8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f9b5e-f363-483f-89fc-42f76d6139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baaf764-73f0-4b4c-b8e1-b7d465e080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7057e7-c24e-49c8-908a-0f06d41b4d8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0b62c22-eb46-415b-a04c-944d690aa7d8}" ma:internalName="TaxCatchAll" ma:showField="CatchAllData" ma:web="0e7057e7-c24e-49c8-908a-0f06d41b4d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e7057e7-c24e-49c8-908a-0f06d41b4d81" xsi:nil="true"/>
    <lcf76f155ced4ddcb4097134ff3c332f xmlns="391f9b5e-f363-483f-89fc-42f76d61393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DB2767-0154-45E9-BE40-90E01C87E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f9b5e-f363-483f-89fc-42f76d613934"/>
    <ds:schemaRef ds:uri="0e7057e7-c24e-49c8-908a-0f06d41b4d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1EB10A-B3E4-4E86-B140-18E83E290819}">
  <ds:schemaRefs>
    <ds:schemaRef ds:uri="http://schemas.microsoft.com/sharepoint/v3/contenttype/forms"/>
  </ds:schemaRefs>
</ds:datastoreItem>
</file>

<file path=customXml/itemProps3.xml><?xml version="1.0" encoding="utf-8"?>
<ds:datastoreItem xmlns:ds="http://schemas.openxmlformats.org/officeDocument/2006/customXml" ds:itemID="{C5C2123D-B207-4DF3-B03E-B910FC199436}">
  <ds:schemaRefs>
    <ds:schemaRef ds:uri="http://schemas.microsoft.com/office/2006/metadata/properties"/>
    <ds:schemaRef ds:uri="http://schemas.microsoft.com/office/infopath/2007/PartnerControls"/>
    <ds:schemaRef ds:uri="0e7057e7-c24e-49c8-908a-0f06d41b4d81"/>
    <ds:schemaRef ds:uri="391f9b5e-f363-483f-89fc-42f76d613934"/>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8430</Words>
  <Characters>48053</Characters>
  <Application>Microsoft Office Word</Application>
  <DocSecurity>0</DocSecurity>
  <Lines>400</Lines>
  <Paragraphs>112</Paragraphs>
  <ScaleCrop>false</ScaleCrop>
  <Company/>
  <LinksUpToDate>false</LinksUpToDate>
  <CharactersWithSpaces>56371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Kose</dc:creator>
  <cp:keywords/>
  <dc:description/>
  <cp:lastModifiedBy>Orhun Kose</cp:lastModifiedBy>
  <cp:revision>4</cp:revision>
  <dcterms:created xsi:type="dcterms:W3CDTF">2025-09-02T16:46:00Z</dcterms:created>
  <dcterms:modified xsi:type="dcterms:W3CDTF">2025-09-04T23:14:00Z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0x010100D417A0084A97484FB2A7DFEB15864649</vt:lpwstr>
  </property>
  <property fmtid="{D5CDD505-2E9C-101B-9397-08002B2CF9AE}" pid="3" name="ZOTERO_PREF_1">
    <vt:lpwstr>&lt;data data-version="3" zotero-version="6.0.36"&gt;&lt;session id="LodX8lPh"/&gt;&lt;style id="http://www.zotero.org/styles/american-medical-association" hasBibliography="1" bibliographyStyleHasBeenSet="1"/&gt;&lt;prefs&gt;&lt;pref name="fieldType" value="Field"/&gt;&lt;/prefs&gt;&lt;/data&gt;</vt:lpwstr>
  </property>
</Properties>
</file>