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AEA93" w14:textId="77777777" w:rsidR="0023753A" w:rsidRPr="00E4224B" w:rsidRDefault="0023753A" w:rsidP="0023753A">
      <w:pPr>
        <w:rPr>
          <w:rFonts w:ascii="Times New Roman" w:hAnsi="Times New Roman" w:cs="Times New Roman"/>
          <w:b/>
          <w:bCs/>
        </w:rPr>
      </w:pPr>
      <w:r w:rsidRPr="00E4224B">
        <w:rPr>
          <w:rFonts w:ascii="Times New Roman" w:hAnsi="Times New Roman" w:cs="Times New Roman"/>
          <w:b/>
          <w:bCs/>
        </w:rPr>
        <w:t>A Reverse Deep Learning Approach for Estimating Bio-Oil Composition from Syngas Characteristics in Steam Reforming Processes</w:t>
      </w:r>
    </w:p>
    <w:p w14:paraId="6D063051" w14:textId="33B0AE79" w:rsidR="0069168C" w:rsidRPr="00E4224B" w:rsidRDefault="00E4224B" w:rsidP="0023753A">
      <w:pPr>
        <w:rPr>
          <w:rFonts w:ascii="Times New Roman" w:hAnsi="Times New Roman" w:cs="Times New Roman"/>
          <w:b/>
          <w:bCs/>
        </w:rPr>
      </w:pPr>
      <w:r w:rsidRPr="00E4224B">
        <w:rPr>
          <w:rFonts w:ascii="Times New Roman" w:hAnsi="Times New Roman" w:cs="Times New Roman"/>
          <w:b/>
          <w:bCs/>
        </w:rPr>
        <w:t xml:space="preserve">1.0 </w:t>
      </w:r>
      <w:r w:rsidR="0069168C" w:rsidRPr="00E4224B">
        <w:rPr>
          <w:rFonts w:ascii="Times New Roman" w:hAnsi="Times New Roman" w:cs="Times New Roman"/>
          <w:b/>
          <w:bCs/>
        </w:rPr>
        <w:t>Introduction</w:t>
      </w:r>
    </w:p>
    <w:p w14:paraId="6735B5B1" w14:textId="77777777" w:rsidR="002361D6" w:rsidRPr="00E4224B" w:rsidRDefault="0023753A" w:rsidP="0023753A">
      <w:pPr>
        <w:rPr>
          <w:rFonts w:ascii="Times New Roman" w:hAnsi="Times New Roman" w:cs="Times New Roman"/>
        </w:rPr>
      </w:pPr>
      <w:r w:rsidRPr="00E4224B">
        <w:rPr>
          <w:rFonts w:ascii="Times New Roman" w:hAnsi="Times New Roman" w:cs="Times New Roman"/>
        </w:rPr>
        <w:t xml:space="preserve">Bio-oil is a product containing valuable hydrocarbons that can serve as an alternative to petroleum derivatives. However, the bio-oil content varies significantly depending on the biomass type and process conditions [Zhang et al., 2017]. This variability complicates the processing and utilization of bio-oil. </w:t>
      </w:r>
    </w:p>
    <w:p w14:paraId="75CBC3B5" w14:textId="77777777" w:rsidR="007411FF" w:rsidRPr="00E4224B" w:rsidRDefault="007411FF" w:rsidP="007411FF">
      <w:pPr>
        <w:rPr>
          <w:rFonts w:ascii="Times New Roman" w:hAnsi="Times New Roman" w:cs="Times New Roman"/>
        </w:rPr>
      </w:pPr>
      <w:r w:rsidRPr="00E4224B">
        <w:rPr>
          <w:rFonts w:ascii="Times New Roman" w:hAnsi="Times New Roman" w:cs="Times New Roman"/>
          <w:b/>
          <w:bCs/>
        </w:rPr>
        <w:t>Processes Utilizing Bio-Oil</w:t>
      </w:r>
      <w:r w:rsidRPr="00E4224B">
        <w:rPr>
          <w:rFonts w:ascii="Times New Roman" w:hAnsi="Times New Roman" w:cs="Times New Roman"/>
        </w:rPr>
        <w:t xml:space="preserve"> Although bio-oil obtained by fast pyrolysis of biomass offers limited added value in its "raw" state due to high water-acid content and an oxygen ratio of 40-60%, it is a strategic intermediate product that can evolve into fuel, chemical feedstock, and even a hydrogen source through appropriate conversion steps. Below, usage areas, process difficulty rankings, and practical engineering notes are integrated with findings from the literature. </w:t>
      </w:r>
    </w:p>
    <w:p w14:paraId="251FF456" w14:textId="77777777" w:rsidR="007411FF" w:rsidRPr="00E4224B" w:rsidRDefault="007411FF" w:rsidP="007411FF">
      <w:pPr>
        <w:numPr>
          <w:ilvl w:val="0"/>
          <w:numId w:val="7"/>
        </w:numPr>
        <w:rPr>
          <w:rFonts w:ascii="Times New Roman" w:hAnsi="Times New Roman" w:cs="Times New Roman"/>
        </w:rPr>
      </w:pPr>
      <w:r w:rsidRPr="00E4224B">
        <w:rPr>
          <w:rFonts w:ascii="Times New Roman" w:hAnsi="Times New Roman" w:cs="Times New Roman"/>
          <w:b/>
          <w:bCs/>
        </w:rPr>
        <w:t>Energy and Heating:</w:t>
      </w:r>
      <w:r w:rsidRPr="00E4224B">
        <w:rPr>
          <w:rFonts w:ascii="Times New Roman" w:hAnsi="Times New Roman" w:cs="Times New Roman"/>
        </w:rPr>
        <w:t xml:space="preserve"> Up to 30 MW of thermal power has been generated by burning bio-oil in district-heating plants in Europe (Bosch Industrial, 2023). At the US Forest Service's California site, liquid bio-oil was selected as a backup/peak load boiler fuel instead of wood chips ; its pumpability provides storage and automation advantages (US Forest Service, 2021). </w:t>
      </w:r>
    </w:p>
    <w:p w14:paraId="55ED4B33" w14:textId="77777777" w:rsidR="007411FF" w:rsidRPr="00E4224B" w:rsidRDefault="007411FF" w:rsidP="007411FF">
      <w:pPr>
        <w:numPr>
          <w:ilvl w:val="0"/>
          <w:numId w:val="7"/>
        </w:numPr>
        <w:rPr>
          <w:rFonts w:ascii="Times New Roman" w:hAnsi="Times New Roman" w:cs="Times New Roman"/>
        </w:rPr>
      </w:pPr>
      <w:r w:rsidRPr="00E4224B">
        <w:rPr>
          <w:rFonts w:ascii="Times New Roman" w:hAnsi="Times New Roman" w:cs="Times New Roman"/>
          <w:b/>
          <w:bCs/>
        </w:rPr>
        <w:t>Upgrading to Transportation Fuels:</w:t>
      </w:r>
      <w:r w:rsidRPr="00E4224B">
        <w:rPr>
          <w:rFonts w:ascii="Times New Roman" w:hAnsi="Times New Roman" w:cs="Times New Roman"/>
        </w:rPr>
        <w:t xml:space="preserve"> By reducing the O/C ratio in bio-oil to &lt;2% through hydrodeoxygenation (HDO), it can be blended into synthetic gasoline, diesel, and jet fuel at a rate of 10-20% (Zhang et al., 2021). In the lignocellulosic bio-oil study by Yang et al. (2023), the aromatic/hydrocarbon ratio was reduced to 1:9 using 400 °C, 10 MPa, and an NiMo/Al₂O₃ catalyst. In the maritime sector, the BP-Maersk trial reported by Jallal (2021) showed that a B30 bio-oil blend operated successfully in two crude oil tankers without requiring engine modification. </w:t>
      </w:r>
    </w:p>
    <w:p w14:paraId="0B6ADA11" w14:textId="77777777" w:rsidR="007411FF" w:rsidRPr="00E4224B" w:rsidRDefault="007411FF" w:rsidP="007411FF">
      <w:pPr>
        <w:numPr>
          <w:ilvl w:val="0"/>
          <w:numId w:val="7"/>
        </w:numPr>
        <w:rPr>
          <w:rFonts w:ascii="Times New Roman" w:hAnsi="Times New Roman" w:cs="Times New Roman"/>
        </w:rPr>
      </w:pPr>
      <w:r w:rsidRPr="00E4224B">
        <w:rPr>
          <w:rFonts w:ascii="Times New Roman" w:hAnsi="Times New Roman" w:cs="Times New Roman"/>
          <w:b/>
          <w:bCs/>
        </w:rPr>
        <w:t>Chemical Feedstock and Materials:</w:t>
      </w:r>
      <w:r w:rsidRPr="00E4224B">
        <w:rPr>
          <w:rFonts w:ascii="Times New Roman" w:hAnsi="Times New Roman" w:cs="Times New Roman"/>
        </w:rPr>
        <w:t xml:space="preserve"> Choi et al. (2015) reported acceptable mechanical performance in novolac resins by substituting 25% of phenol with palm kernel shell bio-oil. Xu et al. (2022) reported that a phenolic fraction enriched by fractional condensation provided complete solubility in formaldehyde resins when extracted in water. In bituminous applications, Varun Kumar and Mayakrishnan (2024) increased elastic recovery by adding 20% pyrolysis-derived bio-bitumen to 70-100 penetration bitumen; Zhang et al. (2022) summarized that nano-clays and lignin fibers can improve aging resistance. </w:t>
      </w:r>
    </w:p>
    <w:p w14:paraId="1D3C7F4A" w14:textId="77777777" w:rsidR="007411FF" w:rsidRPr="00E4224B" w:rsidRDefault="007411FF" w:rsidP="007411FF">
      <w:pPr>
        <w:numPr>
          <w:ilvl w:val="0"/>
          <w:numId w:val="7"/>
        </w:numPr>
        <w:rPr>
          <w:rFonts w:ascii="Times New Roman" w:hAnsi="Times New Roman" w:cs="Times New Roman"/>
        </w:rPr>
      </w:pPr>
      <w:r w:rsidRPr="00E4224B">
        <w:rPr>
          <w:rFonts w:ascii="Times New Roman" w:hAnsi="Times New Roman" w:cs="Times New Roman"/>
          <w:b/>
          <w:bCs/>
        </w:rPr>
        <w:t>Hydrogen and Syngas Production:</w:t>
      </w:r>
      <w:r w:rsidRPr="00E4224B">
        <w:rPr>
          <w:rFonts w:ascii="Times New Roman" w:hAnsi="Times New Roman" w:cs="Times New Roman"/>
        </w:rPr>
        <w:t xml:space="preserve"> A thermodynamic study by Singh et al. (2024) showed that 0.12 kg of theoretical $H_2$ could be obtained from 1 kg of bio-oil via classical steam reforming ; and that a sorption-enhanced chemical looping variant reduced simultaneous $CO_2$ emissions by 35%. In a catalysis-focused evaluation, Pafili and Charisiou (2021) emphasized that Ni-CeO₂ based catalysts are superior in </w:t>
      </w:r>
      <w:r w:rsidRPr="00E4224B">
        <w:rPr>
          <w:rFonts w:ascii="Times New Roman" w:hAnsi="Times New Roman" w:cs="Times New Roman"/>
        </w:rPr>
        <w:lastRenderedPageBreak/>
        <w:t xml:space="preserve">terms of coke and tar tolerance. In an Aspen Plus modeling study, Bekiroğulları and Kaya (2020) reported 90% carbon conversion at 800 °C and an S/C = 4 condition. </w:t>
      </w:r>
    </w:p>
    <w:p w14:paraId="34EC0DCE" w14:textId="77777777" w:rsidR="007411FF" w:rsidRPr="00E4224B" w:rsidRDefault="007411FF" w:rsidP="007411FF">
      <w:pPr>
        <w:numPr>
          <w:ilvl w:val="0"/>
          <w:numId w:val="7"/>
        </w:numPr>
        <w:rPr>
          <w:rFonts w:ascii="Times New Roman" w:hAnsi="Times New Roman" w:cs="Times New Roman"/>
        </w:rPr>
      </w:pPr>
      <w:r w:rsidRPr="00E4224B">
        <w:rPr>
          <w:rFonts w:ascii="Times New Roman" w:hAnsi="Times New Roman" w:cs="Times New Roman"/>
          <w:b/>
          <w:bCs/>
        </w:rPr>
        <w:t>Other Emerging Applications:</w:t>
      </w:r>
      <w:r w:rsidRPr="00E4224B">
        <w:rPr>
          <w:rFonts w:ascii="Times New Roman" w:hAnsi="Times New Roman" w:cs="Times New Roman"/>
        </w:rPr>
        <w:t xml:space="preserve"> Sharifzadeh and Sadeqzadeh (2019) demonstrated that bio-oil-derived syngas could be fed into high-temperature proton exchange membrane fuel cells via a methanol or DME intermediate step; the same study noted that bio-polyol synthesis for the polyurethane industry remains at the laboratory scale. </w:t>
      </w:r>
    </w:p>
    <w:p w14:paraId="5EDA5C18" w14:textId="77777777" w:rsidR="007411FF" w:rsidRPr="00E4224B" w:rsidRDefault="007411FF" w:rsidP="007411FF">
      <w:pPr>
        <w:numPr>
          <w:ilvl w:val="0"/>
          <w:numId w:val="7"/>
        </w:numPr>
        <w:rPr>
          <w:rFonts w:ascii="Times New Roman" w:hAnsi="Times New Roman" w:cs="Times New Roman"/>
        </w:rPr>
      </w:pPr>
      <w:r w:rsidRPr="00E4224B">
        <w:rPr>
          <w:rFonts w:ascii="Times New Roman" w:hAnsi="Times New Roman" w:cs="Times New Roman"/>
          <w:b/>
          <w:bCs/>
        </w:rPr>
        <w:t>Constraints and Certification:</w:t>
      </w:r>
      <w:r w:rsidRPr="00E4224B">
        <w:rPr>
          <w:rFonts w:ascii="Times New Roman" w:hAnsi="Times New Roman" w:cs="Times New Roman"/>
        </w:rPr>
        <w:t xml:space="preserve"> High water-acid content accelerates corrosion; a 1 bar N₂ blanket and passivation are recommended during storage. Additionally, ISO 13065 and EU RED II sustainability certificates are critical, especially for market entry into transportation and marine fuels (Zhang et al., 2021). </w:t>
      </w:r>
    </w:p>
    <w:p w14:paraId="7A0BF0C3" w14:textId="77777777" w:rsidR="007411FF" w:rsidRPr="00E4224B" w:rsidRDefault="007411FF" w:rsidP="007411FF">
      <w:pPr>
        <w:rPr>
          <w:rFonts w:ascii="Times New Roman" w:hAnsi="Times New Roman" w:cs="Times New Roman"/>
        </w:rPr>
      </w:pPr>
      <w:r w:rsidRPr="00E4224B">
        <w:rPr>
          <w:rFonts w:ascii="Times New Roman" w:hAnsi="Times New Roman" w:cs="Times New Roman"/>
        </w:rPr>
        <w:t xml:space="preserve">The direct combustion of bio-oil is the simplest flow scheme; it can be set up in minutes with a single RGibbs or RStoic reactor and a heat exchanger. Steam reforming appears to be a suitable choice thanks to gas-phase reactions and readily available thermodynamic data; in the five-component model by Bekiroğulları and Kaya (2020), each simulation took &lt;5 s. Hydrodeoxygenation requires a multi-stage reactor, hydrogen recycling, and literature kinetics (Lee et al., 2016). Phenolic resin production is more complex due to pseudo-component definitions and specific UNIQUAC parameters (Choi et al., 2015). Physical property data for the high molecular weight, highly viscous phase required for bio-asphalt synthesis are not available in the Aspen database and necessitate specific EOS like PC-SAFT (Zhang et al., 2022). Reforming offers more than five manipulatable variables in the ranges of 650-850 °C, 1-30 bar, and S/C = 2-6; due to its endothermic character, it calculates in seconds, producing balanced datasets of thousands of scenarios. The results of Singh et al. (2024) and Bekiroğulları and Kaya (2020) validate the industrial feasibility of this approach in terms of both energy efficiency and carbon conversion. Thus, realistic dynamic models can be obtained via the Aspen-FMU interface, making it possible to execute machine-learning-supported predictive control with a low margin of error. </w:t>
      </w:r>
    </w:p>
    <w:p w14:paraId="37206632" w14:textId="77777777" w:rsidR="007411FF" w:rsidRPr="00E4224B" w:rsidRDefault="007411FF" w:rsidP="007411FF">
      <w:pPr>
        <w:rPr>
          <w:rFonts w:ascii="Times New Roman" w:hAnsi="Times New Roman" w:cs="Times New Roman"/>
        </w:rPr>
      </w:pPr>
      <w:r w:rsidRPr="00E4224B">
        <w:rPr>
          <w:rFonts w:ascii="Times New Roman" w:hAnsi="Times New Roman" w:cs="Times New Roman"/>
        </w:rPr>
        <w:t>Pyrolysis bio-oils have limited use directly as motor fuels due to their high oxygen content; therefore, hydrogen-rich synthetic gas production routes are prominent in the literature (Bridgwater and Peacocke, 2000). The primary feedstock in this study is a bio-oil with a known composition of chemical groups such as aromatics, aliphatic hydrocarbons, acids, alcohols, esters, furans, phenols, aldehydes and ketones, oxides, sugars, guaiacol, syringol, catechol, and nitrogen-containing compounds. As demonstrated by Wang et al. (2013), this type of "surrogate" approach leads to realistic product distributions using the RYIELD block in Aspen Plus v10+ versions; while the same block exists in Aspen 2006, newer FMU or COM integrations are not available. A typical process chain consists of (i) preheating + steam mixing, (ii) Ni/Al₂O₃ catalyzed main reformer, (iii) two-stage water-gas shift, (iv) condensation, (v) CO₂ removal (amine/SEP), and (vi) PSA shortcut steps. For the main endothermic reaction (CH₄+H₂O</w:t>
      </w:r>
      <w:r w:rsidRPr="00E4224B">
        <w:rPr>
          <w:rFonts w:ascii="Cambria Math" w:hAnsi="Cambria Math" w:cs="Cambria Math"/>
        </w:rPr>
        <w:t>⇌</w:t>
      </w:r>
      <w:r w:rsidRPr="00E4224B">
        <w:rPr>
          <w:rFonts w:ascii="Times New Roman" w:hAnsi="Times New Roman" w:cs="Times New Roman"/>
        </w:rPr>
        <w:t xml:space="preserve">CO+3H₂, ΔH° = +206 kJ mol⁻¹)  to operate effectively, the literature optimum is in </w:t>
      </w:r>
      <w:r w:rsidRPr="00E4224B">
        <w:rPr>
          <w:rFonts w:ascii="Times New Roman" w:hAnsi="Times New Roman" w:cs="Times New Roman"/>
        </w:rPr>
        <w:lastRenderedPageBreak/>
        <w:t xml:space="preserve">the range of 850 °C, 20 bar, S/C=3–4 (Luyben, 2016). The high-temperature water-gas shift (350 °C) reduces the CO mole fraction below 3%, and then the low-temperature reactor (200 °C) captures the exothermic equilibrium up to 99% (Inayat and Dahoe, 2015). The flow scheme (Figure 1) to be established on Aspen 2006 is intended to use the block sequence: RYIELD → MIXER → HEATER → RGIBBS/RPLUG → COOLER → RPLUG(HTS) → COOLER → RPLUG(LTS) → FLASH2 → SEP(CO₂) → SEP(PSA). The PRSV thermodynamic package provides an acceptable margin of error in the vapor-liquid equilibrium of oxygenates (AspenTech, 2022). Since the PSA unit is not available as an icon in Aspen 2006, it can be modeled as a shortcut using "Component Split" coefficients proposed by Smith and Brown (2019); H₂ recovery is intended to be maintained at 90%, and purity at 99.9%. For dataset generation, it is planned to scan T (650–850 °C), P (5–30 bar), S/C (2–6), and composition variations using the Sensitivity tool. The observations to be obtained with the planned parametric sweep will be utilized in the inverse mapping approach of Zhao and Chen (2021) as inputs (X) = target outputs (H₂ flow, H₂/CO, CH₄slip) and outputs (Y) = control variables (T, P, S/C), with modeling anticipated via Gaussian Process Regression. This inverse model is targeted to serve as a set-point generator in real-time Model Predictive Control (MPC) design. Alternatively, the open-source DWSIM v8 supports Peng-Robinson thermodynamics with the same component set and solves the main reform in minutes via the Gibbs Reactor (Dias and Bezerra, 2020). However, since PSA and dynamic integration modules are missing, DWSIM outputs were fed into the Aspen-based control digital twin via external file transfer. </w:t>
      </w:r>
    </w:p>
    <w:p w14:paraId="2CB9FA80" w14:textId="2E33F9BF" w:rsidR="007411FF" w:rsidRDefault="00E4224B" w:rsidP="0023753A">
      <w:pPr>
        <w:rPr>
          <w:rFonts w:ascii="Times New Roman" w:hAnsi="Times New Roman" w:cs="Times New Roman"/>
        </w:rPr>
      </w:pPr>
      <w:r>
        <w:rPr>
          <w:rFonts w:ascii="Times New Roman" w:hAnsi="Times New Roman" w:cs="Times New Roman"/>
        </w:rPr>
        <w:t>2.0 Data preperation</w:t>
      </w:r>
    </w:p>
    <w:p w14:paraId="0E4CD269" w14:textId="77777777" w:rsidR="00E4224B" w:rsidRDefault="00E4224B" w:rsidP="0023753A">
      <w:pPr>
        <w:rPr>
          <w:rFonts w:ascii="Times New Roman" w:hAnsi="Times New Roman" w:cs="Times New Roman"/>
        </w:rPr>
      </w:pPr>
    </w:p>
    <w:p w14:paraId="4AB88CAB" w14:textId="684DA6D1" w:rsidR="00E4224B" w:rsidRPr="00E4224B" w:rsidRDefault="00E4224B" w:rsidP="0023753A">
      <w:pPr>
        <w:rPr>
          <w:rFonts w:ascii="Times New Roman" w:hAnsi="Times New Roman" w:cs="Times New Roman"/>
        </w:rPr>
      </w:pPr>
      <w:r>
        <w:rPr>
          <w:rFonts w:ascii="Times New Roman" w:hAnsi="Times New Roman" w:cs="Times New Roman"/>
        </w:rPr>
        <w:t>2.1 litreature</w:t>
      </w:r>
    </w:p>
    <w:p w14:paraId="2C55E4F8" w14:textId="494495DA"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In the study by Hu et al. (2023), bamboo used as raw biomass was subjected to thermal pretreatment with 6 different temperature and residence time combinations, and bio-oil production was realized from the resulting intermediate products through 18 different combinations utilizing temperature, catalyst type, and catalyst amount parameters. Zhang et al. (2017) utilized rice husk, applying thermal pretreatment at 4 different temperatures and conducting a total of 5 experiments, including the raw sample. Hwang et al. (2013) conducted 5 experiments using yellow poplar wood samples obtained by soaking them in hydrochloric acid solutions of varying concentrations. Chen et al. (2016) obtained bio-oil by pyrolyzing pine nut shells at 4 different temperatures. Chen et al. (2017) pyrolyzed dried cotton stalks after various pretreatments, performing 4 sets of experiments. In the study by Wang et al. (2018), corncob lignin was used as biomass, and 5 experiments were conducted at different temperatures. Cao et al. (2021) utilized a green alga named </w:t>
      </w:r>
      <w:r w:rsidRPr="00E4224B">
        <w:rPr>
          <w:rFonts w:ascii="Times New Roman" w:hAnsi="Times New Roman" w:cs="Times New Roman"/>
          <w:i/>
          <w:iCs/>
        </w:rPr>
        <w:t>Enteromorpha clathrata</w:t>
      </w:r>
      <w:r w:rsidRPr="00E4224B">
        <w:rPr>
          <w:rFonts w:ascii="Times New Roman" w:hAnsi="Times New Roman" w:cs="Times New Roman"/>
        </w:rPr>
        <w:t xml:space="preserve"> as biomass and performed 7 experiments using different catalyst materials</w:t>
      </w:r>
      <w:r w:rsidR="0069168C" w:rsidRPr="00E4224B">
        <w:rPr>
          <w:rFonts w:ascii="Times New Roman" w:hAnsi="Times New Roman" w:cs="Times New Roman"/>
        </w:rPr>
        <w:t>.</w:t>
      </w:r>
      <w:r w:rsidRPr="00E4224B">
        <w:rPr>
          <w:rFonts w:ascii="Times New Roman" w:hAnsi="Times New Roman" w:cs="Times New Roman"/>
        </w:rPr>
        <w:t xml:space="preserve"> Modak et al. (2023) studied mixed cooked food waste at three different pyrolysis temperatures, reporting a maximum bio-oil yield of</w:t>
      </w:r>
      <w:r w:rsidR="000A7CC1" w:rsidRPr="00E4224B">
        <w:rPr>
          <w:rFonts w:ascii="Times New Roman" w:hAnsi="Times New Roman" w:cs="Times New Roman"/>
        </w:rPr>
        <w:t xml:space="preserve"> ≈ </w:t>
      </w:r>
      <w:r w:rsidRPr="00E4224B">
        <w:rPr>
          <w:rFonts w:ascii="Times New Roman" w:hAnsi="Times New Roman" w:cs="Times New Roman"/>
        </w:rPr>
        <w:t xml:space="preserve">45% at 400 °C and an aromatic fraction exceeding 60% at 500 °C. Bordoloi et al. (2016) characterized </w:t>
      </w:r>
      <w:r w:rsidRPr="00E4224B">
        <w:rPr>
          <w:rFonts w:ascii="Times New Roman" w:hAnsi="Times New Roman" w:cs="Times New Roman"/>
        </w:rPr>
        <w:lastRenderedPageBreak/>
        <w:t xml:space="preserve">the biomass of the freshwater microalga </w:t>
      </w:r>
      <w:r w:rsidRPr="00E4224B">
        <w:rPr>
          <w:rFonts w:ascii="Times New Roman" w:hAnsi="Times New Roman" w:cs="Times New Roman"/>
          <w:i/>
          <w:iCs/>
        </w:rPr>
        <w:t>Scenedesmus dimorphus</w:t>
      </w:r>
      <w:r w:rsidRPr="00E4224B">
        <w:rPr>
          <w:rFonts w:ascii="Times New Roman" w:hAnsi="Times New Roman" w:cs="Times New Roman"/>
        </w:rPr>
        <w:t xml:space="preserve"> at a single pyrolysis temperature of 500 °C; the bio-oil yield was 39.6%, which was fractionated into n-hexane, toluene, ethyl acetate, and methanol sub-fractions, highlighting N-compounds of high protein origin. The conversion of oil palm (</w:t>
      </w:r>
      <w:r w:rsidRPr="00E4224B">
        <w:rPr>
          <w:rFonts w:ascii="Times New Roman" w:hAnsi="Times New Roman" w:cs="Times New Roman"/>
          <w:i/>
          <w:iCs/>
        </w:rPr>
        <w:t>Elaeis guineensis</w:t>
      </w:r>
      <w:r w:rsidRPr="00E4224B">
        <w:rPr>
          <w:rFonts w:ascii="Times New Roman" w:hAnsi="Times New Roman" w:cs="Times New Roman"/>
        </w:rPr>
        <w:t xml:space="preserve">) empty fruit bunch (EFB) biomass at a single pyrolysis temperature of 500 °C was performed by Sukiran et al. (2009); a bio-oil yield of up to 42.3% and a Higher Heating Value (HHV) of 20–21 MJ kg⁻¹ were obtained, with FT-IR analysis revealing phenolic-ketonic richness. Mullen et al. (2010) investigated three different barley biomasses—barley straw, barley hulls, and dried distillers grains with solubles (DDGS) obtained from the distillation process—at a single fast pyrolysis temperature of 500 °C ; it was noted that the bio-oil yield ranged from 42–50%, the DDGS-derived oil was more energetic with an HHV over 30 MJ kg⁻¹ on a dry basis, but all oils had a limited shelf life without refining. In 2019, Chukwuneke et al. conducted a physicochemical analysis of the biofuel obtained by processing </w:t>
      </w:r>
      <w:r w:rsidRPr="00E4224B">
        <w:rPr>
          <w:rFonts w:ascii="Times New Roman" w:hAnsi="Times New Roman" w:cs="Times New Roman"/>
          <w:i/>
          <w:iCs/>
        </w:rPr>
        <w:t>Swietenia macrophylla</w:t>
      </w:r>
      <w:r w:rsidRPr="00E4224B">
        <w:rPr>
          <w:rFonts w:ascii="Times New Roman" w:hAnsi="Times New Roman" w:cs="Times New Roman"/>
        </w:rPr>
        <w:t xml:space="preserve"> (mahogany) wood waste at a single pyrolysis temperature of 450 °C; a maximum bio-oil yield of 69.5%, a viscosity of 4.6 mm² s⁻¹, and an HHV of 29.5 MJ kg⁻¹ were measured, while 24 significant aromatic-aliphatic compounds were identified via GC-MS. In 2009, Khor</w:t>
      </w:r>
      <w:r w:rsidR="000A7CC1" w:rsidRPr="00E4224B">
        <w:rPr>
          <w:rFonts w:ascii="Times New Roman" w:hAnsi="Times New Roman" w:cs="Times New Roman"/>
        </w:rPr>
        <w:t xml:space="preserve"> et al</w:t>
      </w:r>
      <w:r w:rsidRPr="00E4224B">
        <w:rPr>
          <w:rFonts w:ascii="Times New Roman" w:hAnsi="Times New Roman" w:cs="Times New Roman"/>
        </w:rPr>
        <w:t xml:space="preserve"> characterized the biofuel obtained by processing oil palm empty fruit bunch fibers at a single slow pyrolysis temperature of 600 °C ; despite an oil yield of only 13%, an HHV of 31.4 MJ kg⁻¹, a pH of 3.6, and an empirical formula of </w:t>
      </w:r>
      <w:r w:rsidR="000A7CC1" w:rsidRPr="00E4224B">
        <w:rPr>
          <w:rFonts w:ascii="Times New Roman" w:hAnsi="Times New Roman" w:cs="Times New Roman"/>
        </w:rPr>
        <w:t xml:space="preserve">CH₁․₄₁N₀․₀₃O₀․₂₄ </w:t>
      </w:r>
      <w:r w:rsidRPr="00E4224B">
        <w:rPr>
          <w:rFonts w:ascii="Times New Roman" w:hAnsi="Times New Roman" w:cs="Times New Roman"/>
        </w:rPr>
        <w:t xml:space="preserve">were reported, emphasizing storage/transport corrosivity due to a high acid number (103 mg KOH g⁻¹). In 2025, Sampaio et al., in their comprehensive review examining the effect of extractives in biomass pyrolysis on bio-oil composition ; reviewed and compared fourteen different biomasses such as palm shell (500 °C), eucalyptus chips (550 °C), pine sawdust (500 °C), sisal residue (500 °C), banana leaves (500 °C), bamboo (550 °C), sugarcane bagasse (480 °C), rice straw (550 °C), corn stalk (500 °C), corncob (500 °C), coconut shell (500 °C), and mahua seed (525 °C). The review demonstrated that two-phase oil formation in extractive-rich feedstocks and values like low O/C = 0.16 seen in sisal residue lead to an HHV increase; it revealed that extractives interacting with inorganics like Cu and Mn reduce the activation energy by 10–25 kJ mol⁻¹ and catalytically enhance acetic/formic acid production. Furthermore, the lipophilic-hydrophilic balance was identified as the main factor driving phenolic distribution and phase separation, and kinetic model recommendations were presented for process optimization. The study discussed in detail the relationships between bio-oil yield and chemical distribution (phenols, ketones, acids, furans, etc.) with increasing extractive content; specifically highlighting changes in O/C and H/C ratios along with high heating values (HHV). This review sheds light on conscious modeling of how extractives modulate reaction mechanisms by lowering pyrolysis activation energy and on the optimization of sustainable biofuel production processes. </w:t>
      </w:r>
    </w:p>
    <w:p w14:paraId="41A0186A" w14:textId="37623AD3" w:rsidR="0069168C" w:rsidRPr="00E4224B" w:rsidRDefault="0069168C" w:rsidP="0023753A">
      <w:pPr>
        <w:rPr>
          <w:rFonts w:ascii="Times New Roman" w:hAnsi="Times New Roman" w:cs="Times New Roman"/>
        </w:rPr>
      </w:pPr>
      <w:r w:rsidRPr="00E4224B">
        <w:rPr>
          <w:rFonts w:ascii="Times New Roman" w:hAnsi="Times New Roman" w:cs="Times New Roman"/>
        </w:rPr>
        <w:t>When all these experimental sets were compiled, 70 sets of experimental data—containing complete FTIR analysis results of bio-oil produced under different pyrolysis parameters from various biomass types with distinct proximate, ultimate, and thermal analysis values—were added to our database.</w:t>
      </w:r>
    </w:p>
    <w:p w14:paraId="106B3A12" w14:textId="066BECDD" w:rsidR="0023753A" w:rsidRPr="00E4224B" w:rsidRDefault="00E4224B" w:rsidP="0023753A">
      <w:pPr>
        <w:rPr>
          <w:rFonts w:ascii="Times New Roman" w:hAnsi="Times New Roman" w:cs="Times New Roman"/>
        </w:rPr>
      </w:pPr>
      <w:r>
        <w:rPr>
          <w:rFonts w:ascii="Times New Roman" w:hAnsi="Times New Roman" w:cs="Times New Roman"/>
          <w:b/>
          <w:bCs/>
        </w:rPr>
        <w:lastRenderedPageBreak/>
        <w:t xml:space="preserve">2.2 synthetic data </w:t>
      </w:r>
    </w:p>
    <w:p w14:paraId="7C9F8B58"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At this stage of the study, an attempt was made to predict the input bio-oil composition based on the syngas composition emerging from the steam reforming process of bio-oil obtained by biomass pyrolysis. For this purpose, a reverse-acting predictive model was developed. The bio-oil characterization and syngas prediction model is shown in Figure 1. In bio-oil steam reforming plants, measuring the syngas composition exiting the reactor is quite easy and fast, as it can be done in minutes with gas chromatography [Bridgwater, 2012]. However, determining the detailed chemical composition of bio-oil requires much more difficult, expensive, and time-consuming wet chemistry analyses [Oasmaa and Peacocke, 2010]. In other words, while bio-oil composition can be measured with devices like GC-MS and FTIR after several separation processes, syngas composition can be monitored online directly on the line. This means that measuring bio-oil composition is a much more challenging, expensive, and time-consuming process. If the bio-oil composition can be predicted by looking at the syngas composition, feedstock quality control can be performed, and the type of bio-oil being used in the facility can be monitored in real-time [Wright et al., 2010]. Furthermore, the optimal bio-oil blend required for targeted hydrogen production can be optimized. </w:t>
      </w:r>
    </w:p>
    <w:p w14:paraId="0FB1A1C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This study encompasses the development of an AI-based reverse engineering model by enriching a limited amount of experimental data through simulation techniques (data augmentation). The methodological approach followed consists of three interdependent fundamental stages, as shown in the flowchart in Figure 1. </w:t>
      </w:r>
    </w:p>
    <w:p w14:paraId="2C9773C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The first stage of the study is literature review and data compilation. In this stage, the feedstock data forming the basis of the study were compiled. During this process, a source scan was conducted; that is, bio-oil studies produced by pyrolysis methods in the literature were comprehensively reviewed. As a result of the scans, over 30 different bio-oil samples obtained from various biomass sources were identified, and their elemental/chemical compositions were entered into a database. This stage constitutes the "Ground Truth" layer that ensures the simulation is based on real-world data. </w:t>
      </w:r>
    </w:p>
    <w:p w14:paraId="494287F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The second stage is process simulation with Cantera. This stage aims to generate the large dataset required to train the AI model. Since a limited number (30+) of experimental data is insufficient for machine learning, data augmentation was pursued using the Cantera library. The pyrolysis oils obtained in the first stage were defined as the main feedstock for this simulation. For each bio-oil sample, the Steam Reforming process was simulated within the framework of thermodynamic equilibrium and kinetic reaction models. As a result of simulations conducted at different temperatures, pressures, and steam/carbon (S/C) ratios, more than 1000 unique syngas (synthesis gas) compositions were generated. This synthetic dataset forms the training set of the model. </w:t>
      </w:r>
    </w:p>
    <w:p w14:paraId="1867F32B"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1. Methodology flowchart</w:t>
      </w:r>
      <w:r w:rsidRPr="00E4224B">
        <w:rPr>
          <w:rFonts w:ascii="Times New Roman" w:hAnsi="Times New Roman" w:cs="Times New Roman"/>
        </w:rPr>
        <w:t xml:space="preserve">. </w:t>
      </w:r>
    </w:p>
    <w:p w14:paraId="66E86E91" w14:textId="5D005BF6" w:rsidR="0023753A" w:rsidRPr="00E4224B" w:rsidRDefault="0023753A" w:rsidP="0023753A">
      <w:pPr>
        <w:rPr>
          <w:rFonts w:ascii="Times New Roman" w:hAnsi="Times New Roman" w:cs="Times New Roman"/>
        </w:rPr>
      </w:pPr>
      <w:r w:rsidRPr="00E4224B">
        <w:rPr>
          <w:rFonts w:ascii="Times New Roman" w:hAnsi="Times New Roman" w:cs="Times New Roman"/>
        </w:rPr>
        <w:lastRenderedPageBreak/>
        <w:t>In the final stage, AI modeling was performed in a reverse engineering manner. In this stage, an AI model was developed using the dataset that had been enriched by simulation to exceed a thousand data points. The primary purpose of this model relies on the principle of reverse engineering. The model was trained to learn the relationship between the syngas outputs generated in the second stage and the bio-oil inputs that formed them. The developed model aims to predict the composition of the original pyrolysis bio-oil with high accuracy based on the characteristics of the obtained syngas (H</w:t>
      </w:r>
      <w:r w:rsidR="00010FA6" w:rsidRPr="00E4224B">
        <w:rPr>
          <w:rFonts w:ascii="Times New Roman" w:hAnsi="Times New Roman" w:cs="Times New Roman"/>
          <w:vertAlign w:val="subscript"/>
        </w:rPr>
        <w:t>2</w:t>
      </w:r>
      <w:r w:rsidRPr="00E4224B">
        <w:rPr>
          <w:rFonts w:ascii="Times New Roman" w:hAnsi="Times New Roman" w:cs="Times New Roman"/>
        </w:rPr>
        <w:t xml:space="preserve">/CO ratio, component percentages, etc.). This integrated workflow enables the computationally predictive estimation of the bio-oil characterization process, which is experimentally costly and time-consuming, via generated gas data. </w:t>
      </w:r>
    </w:p>
    <w:p w14:paraId="7DE6A87C"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B.2.1 Data generation with Cantera</w:t>
      </w:r>
      <w:r w:rsidRPr="00E4224B">
        <w:rPr>
          <w:rFonts w:ascii="Times New Roman" w:hAnsi="Times New Roman" w:cs="Times New Roman"/>
        </w:rPr>
        <w:t xml:space="preserve"> </w:t>
      </w:r>
    </w:p>
    <w:p w14:paraId="738B9A2F" w14:textId="77777777" w:rsidR="007957BF" w:rsidRPr="00E4224B" w:rsidRDefault="0023753A" w:rsidP="0023753A">
      <w:pPr>
        <w:rPr>
          <w:rFonts w:ascii="Times New Roman" w:hAnsi="Times New Roman" w:cs="Times New Roman"/>
        </w:rPr>
      </w:pPr>
      <w:r w:rsidRPr="00E4224B">
        <w:rPr>
          <w:rFonts w:ascii="Times New Roman" w:hAnsi="Times New Roman" w:cs="Times New Roman"/>
        </w:rPr>
        <w:t xml:space="preserve">In the first stage, to create the dataset, an open-source software package named Cantera was utilized, which assists users in solving problems related to thermodynamics, chemical reaction rates, and fluid transport processes. Cantera is a very powerful tool; it performs chemical equilibrium calculations via the Gibbs free energy minimization method using thermodynamic databases developed by NASA [Goodwin et al., 2017][Smith and Missen, 1982]. By providing the initial composition, temperature, and pressure, Cantera calculates the final composition of the system when it reaches equilibrium according to thermodynamic laws. Cantera computes based on the Second Law of Thermodynamics and the associated principle of Gibbs Free Energy minimization. At constant temperature and pressure, a system spontaneously proceeds toward the state where Gibbs free energy (G) is minimized. Chemical equilibrium is the state where the system reaches the minimum point of Gibbs free energy. Mathematically: </w:t>
      </w:r>
    </w:p>
    <w:p w14:paraId="5E502C23" w14:textId="77777777" w:rsidR="007957BF" w:rsidRPr="00E4224B" w:rsidRDefault="007957BF" w:rsidP="0023753A">
      <w:pPr>
        <w:rPr>
          <w:rFonts w:ascii="Times New Roman" w:hAnsi="Times New Roman" w:cs="Times New Roman"/>
          <w:lang w:bidi="en-US"/>
        </w:rPr>
      </w:pPr>
      <w:r w:rsidRPr="00E4224B">
        <w:rPr>
          <w:rFonts w:ascii="Times New Roman" w:hAnsi="Times New Roman" w:cs="Times New Roman"/>
          <w:lang w:bidi="en-US"/>
        </w:rPr>
        <w:t>Minimize: G = Σ(nᵢ × μᵢ)</w:t>
      </w:r>
    </w:p>
    <w:p w14:paraId="14DA87E6" w14:textId="2D0DEF64" w:rsidR="0023753A" w:rsidRPr="00E4224B" w:rsidRDefault="0023753A" w:rsidP="0023753A">
      <w:pPr>
        <w:rPr>
          <w:rFonts w:ascii="Times New Roman" w:hAnsi="Times New Roman" w:cs="Times New Roman"/>
        </w:rPr>
      </w:pPr>
      <w:r w:rsidRPr="00E4224B">
        <w:rPr>
          <w:rFonts w:ascii="Times New Roman" w:hAnsi="Times New Roman" w:cs="Times New Roman"/>
        </w:rPr>
        <w:t>Where G is the total Gibbs free energy, n</w:t>
      </w:r>
      <w:r w:rsidR="00F61362" w:rsidRPr="00E4224B">
        <w:rPr>
          <w:rFonts w:ascii="Times New Roman" w:hAnsi="Times New Roman" w:cs="Times New Roman"/>
          <w:vertAlign w:val="subscript"/>
        </w:rPr>
        <w:t>i</w:t>
      </w:r>
      <w:r w:rsidRPr="00E4224B">
        <w:rPr>
          <w:rFonts w:ascii="Times New Roman" w:hAnsi="Times New Roman" w:cs="Times New Roman"/>
        </w:rPr>
        <w:t xml:space="preserve"> is the number of moles of species i, and </w:t>
      </w:r>
      <w:r w:rsidR="00F61362" w:rsidRPr="00E4224B">
        <w:rPr>
          <w:rFonts w:ascii="Times New Roman" w:hAnsi="Times New Roman" w:cs="Times New Roman"/>
          <w:lang w:bidi="en-US"/>
        </w:rPr>
        <w:t>μᵢ</w:t>
      </w:r>
      <w:r w:rsidRPr="00E4224B">
        <w:rPr>
          <w:rFonts w:ascii="Times New Roman" w:hAnsi="Times New Roman" w:cs="Times New Roman"/>
        </w:rPr>
        <w:t xml:space="preserve"> is the chemical potential of species i, which can be calculated by the formula </w:t>
      </w:r>
      <w:r w:rsidR="004B305E" w:rsidRPr="00E4224B">
        <w:rPr>
          <w:rFonts w:ascii="Times New Roman" w:hAnsi="Times New Roman" w:cs="Times New Roman"/>
          <w:lang w:bidi="en-US"/>
        </w:rPr>
        <w:t>(μᵢ = μᵢ° + RT ln(aᵢ))</w:t>
      </w:r>
      <w:r w:rsidRPr="00E4224B">
        <w:rPr>
          <w:rFonts w:ascii="Times New Roman" w:hAnsi="Times New Roman" w:cs="Times New Roman"/>
        </w:rPr>
        <w:t xml:space="preserve">. This optimization is performed under the constraints of element balances (conservation of C, H, O atoms) and non-negative mole numbers. This approach is both highly reliable scientifically and ideal for complex mixtures like bio-oil, as it does not require kinetic reaction equations. </w:t>
      </w:r>
    </w:p>
    <w:p w14:paraId="1E9C36EF" w14:textId="56FCF081"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The bio-oil was categorized into 6 different functional groups. These are aromatics, acids, alcohols, furans, phenols, and aldehydes-ketones. A surrogate molecule was selected to represent each functional group. Toluene (C7H8) for aromatics, acetic acid (CH3COOH) for acids, ethanol (C2H5OH) for alcohols, furan (C4H4O) for furans, phenol (C6H6O) for phenols, and acetone (C3H6O) for aldehydes-ketones were used as references. These selections (toluene, acetic acid, ethanol, etc.) are widely accepted molecules in the literature for bio-oil modeling [Vagia and Lemonidou, 2007]. </w:t>
      </w:r>
    </w:p>
    <w:p w14:paraId="69F42106"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2. Data generation with Cantera</w:t>
      </w:r>
      <w:r w:rsidRPr="00E4224B">
        <w:rPr>
          <w:rFonts w:ascii="Times New Roman" w:hAnsi="Times New Roman" w:cs="Times New Roman"/>
        </w:rPr>
        <w:t xml:space="preserve">. </w:t>
      </w:r>
    </w:p>
    <w:p w14:paraId="55A3D7D8" w14:textId="48136546"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There were 30 different bio-oil compositions in the database, and a total of 45 different process condition combinations were tested for each. The process conditions were as follows. 5 different </w:t>
      </w:r>
      <w:r w:rsidRPr="00E4224B">
        <w:rPr>
          <w:rFonts w:ascii="Times New Roman" w:hAnsi="Times New Roman" w:cs="Times New Roman"/>
        </w:rPr>
        <w:lastRenderedPageBreak/>
        <w:t>values were used for temperature: 650°C, 700°C, 750°C, 800°C, and 850°C. 3 different values were selected for pressure: 5 bar, 15 bar, and 30 bar. 3 different values were tested for the steam-to-carbon ratio: 2.0, 4.0, and 6.0. Thus, a total of 5</w:t>
      </w:r>
      <w:r w:rsidR="0050701C" w:rsidRPr="00E4224B">
        <w:rPr>
          <w:rFonts w:ascii="Times New Roman" w:hAnsi="Times New Roman" w:cs="Times New Roman"/>
        </w:rPr>
        <w:t>x</w:t>
      </w:r>
      <w:r w:rsidRPr="00E4224B">
        <w:rPr>
          <w:rFonts w:ascii="Times New Roman" w:hAnsi="Times New Roman" w:cs="Times New Roman"/>
        </w:rPr>
        <w:t xml:space="preserve"> 3</w:t>
      </w:r>
      <w:r w:rsidR="0050701C" w:rsidRPr="00E4224B">
        <w:rPr>
          <w:rFonts w:ascii="Times New Roman" w:hAnsi="Times New Roman" w:cs="Times New Roman"/>
        </w:rPr>
        <w:t>x</w:t>
      </w:r>
      <w:r w:rsidRPr="00E4224B">
        <w:rPr>
          <w:rFonts w:ascii="Times New Roman" w:hAnsi="Times New Roman" w:cs="Times New Roman"/>
        </w:rPr>
        <w:t xml:space="preserve">3 = 45 different process condition combinations were obtained. 30 different bio-oil compositions </w:t>
      </w:r>
      <w:r w:rsidR="00FC65DA" w:rsidRPr="00E4224B">
        <w:rPr>
          <w:rFonts w:ascii="Times New Roman" w:hAnsi="Times New Roman" w:cs="Times New Roman"/>
        </w:rPr>
        <w:t>x</w:t>
      </w:r>
      <w:r w:rsidRPr="00E4224B">
        <w:rPr>
          <w:rFonts w:ascii="Times New Roman" w:hAnsi="Times New Roman" w:cs="Times New Roman"/>
        </w:rPr>
        <w:t xml:space="preserve">45 process conditions = 1350 simulations. Ultimately, as shown in Figure 2, 1350 thermodynamically fully valid and complete data points were obtained. </w:t>
      </w:r>
    </w:p>
    <w:p w14:paraId="145F4847" w14:textId="266497C6" w:rsidR="008B478D" w:rsidRPr="00E4224B" w:rsidRDefault="008B478D" w:rsidP="0023753A">
      <w:pPr>
        <w:rPr>
          <w:rFonts w:ascii="Times New Roman" w:hAnsi="Times New Roman" w:cs="Times New Roman"/>
        </w:rPr>
      </w:pPr>
      <w:r w:rsidRPr="00E4224B">
        <w:rPr>
          <w:rFonts w:ascii="Times New Roman" w:hAnsi="Times New Roman" w:cs="Times New Roman"/>
          <w:noProof/>
        </w:rPr>
        <w:drawing>
          <wp:inline distT="0" distB="0" distL="0" distR="0" wp14:anchorId="7C1F4172" wp14:editId="561EAD4C">
            <wp:extent cx="5172075" cy="431800"/>
            <wp:effectExtent l="0" t="0" r="9525" b="6350"/>
            <wp:docPr id="86780509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72075" cy="431800"/>
                    </a:xfrm>
                    <a:prstGeom prst="rect">
                      <a:avLst/>
                    </a:prstGeom>
                    <a:noFill/>
                    <a:ln>
                      <a:noFill/>
                    </a:ln>
                  </pic:spPr>
                </pic:pic>
              </a:graphicData>
            </a:graphic>
          </wp:inline>
        </w:drawing>
      </w:r>
    </w:p>
    <w:p w14:paraId="099C4C31"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In each simulation, the bio-oil composition, the calculated amount of steam, temperature, and pressure are provided to Cantera. In the simulations, to model the thermodynamic process from bio-oil to hydrogen production, a five-unit steam reforming process widely accepted in the literature and schematized in Figure 3 was followed [Pafili et al., 2021]. </w:t>
      </w:r>
    </w:p>
    <w:p w14:paraId="4C23BBA8"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3. Schematic view of the hydrogen production process stages</w:t>
      </w:r>
      <w:r w:rsidRPr="00E4224B">
        <w:rPr>
          <w:rFonts w:ascii="Times New Roman" w:hAnsi="Times New Roman" w:cs="Times New Roman"/>
        </w:rPr>
        <w:t xml:space="preserve">. </w:t>
      </w:r>
    </w:p>
    <w:p w14:paraId="11E2FD4B"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In the Cantera simulation, the following mathematical operations are performed: The chemical potential ($\mu_i = \mu_i^\circ + RT \ln(a_i)$) is calculated for each chemical species in the system. Then, under the constraints of element conservation (amounts of C, H, O atoms entering the system = amounts exiting) and positive mole numbers, it finds the composition that minimizes the Gibbs free energy. By considering all possible chemical species for the system, it determines the composition that will minimize the Gibbs free energy. This optimization problem is a non-linear constrained problem, and Cantera employs numerical methods such as Newton-Raphson to solve it. Cantera uses the Newton-Raphson iterative method for Gibbs free energy minimization. This method works as follows: </w:t>
      </w:r>
    </w:p>
    <w:p w14:paraId="4C1BD0E1" w14:textId="77777777" w:rsidR="0023753A" w:rsidRPr="00E4224B" w:rsidRDefault="0023753A" w:rsidP="0023753A">
      <w:pPr>
        <w:numPr>
          <w:ilvl w:val="0"/>
          <w:numId w:val="8"/>
        </w:numPr>
        <w:rPr>
          <w:rFonts w:ascii="Times New Roman" w:hAnsi="Times New Roman" w:cs="Times New Roman"/>
        </w:rPr>
      </w:pPr>
      <w:r w:rsidRPr="00E4224B">
        <w:rPr>
          <w:rFonts w:ascii="Times New Roman" w:hAnsi="Times New Roman" w:cs="Times New Roman"/>
        </w:rPr>
        <w:t xml:space="preserve">Initial guess: Initial composition values are determined for the system. </w:t>
      </w:r>
    </w:p>
    <w:p w14:paraId="62292F23" w14:textId="77777777" w:rsidR="0023753A" w:rsidRPr="00E4224B" w:rsidRDefault="0023753A" w:rsidP="0023753A">
      <w:pPr>
        <w:numPr>
          <w:ilvl w:val="0"/>
          <w:numId w:val="8"/>
        </w:numPr>
        <w:rPr>
          <w:rFonts w:ascii="Times New Roman" w:hAnsi="Times New Roman" w:cs="Times New Roman"/>
        </w:rPr>
      </w:pPr>
      <w:r w:rsidRPr="00E4224B">
        <w:rPr>
          <w:rFonts w:ascii="Times New Roman" w:hAnsi="Times New Roman" w:cs="Times New Roman"/>
        </w:rPr>
        <w:t xml:space="preserve">Jacobian matrix calculation: In each iteration, the partial derivatives of Gibbs energy with respect to composition (Jacobian matrix) are calculated. </w:t>
      </w:r>
    </w:p>
    <w:p w14:paraId="61024507" w14:textId="77777777" w:rsidR="0023753A" w:rsidRPr="00E4224B" w:rsidRDefault="0023753A" w:rsidP="0023753A">
      <w:pPr>
        <w:numPr>
          <w:ilvl w:val="0"/>
          <w:numId w:val="8"/>
        </w:numPr>
        <w:rPr>
          <w:rFonts w:ascii="Times New Roman" w:hAnsi="Times New Roman" w:cs="Times New Roman"/>
        </w:rPr>
      </w:pPr>
      <w:r w:rsidRPr="00E4224B">
        <w:rPr>
          <w:rFonts w:ascii="Times New Roman" w:hAnsi="Times New Roman" w:cs="Times New Roman"/>
        </w:rPr>
        <w:t xml:space="preserve">Solving the system of linear equations: The Newton-Raphson method finds composition corrections ($\Delta n_i$) by solving a linearized equation system at each step: </w:t>
      </w:r>
    </w:p>
    <w:p w14:paraId="2F1F0C4A" w14:textId="77777777" w:rsidR="0023753A" w:rsidRPr="00E4224B" w:rsidRDefault="0023753A" w:rsidP="0023753A">
      <w:pPr>
        <w:numPr>
          <w:ilvl w:val="1"/>
          <w:numId w:val="8"/>
        </w:numPr>
        <w:rPr>
          <w:rFonts w:ascii="Times New Roman" w:hAnsi="Times New Roman" w:cs="Times New Roman"/>
        </w:rPr>
      </w:pPr>
      <w:r w:rsidRPr="00E4224B">
        <w:rPr>
          <w:rFonts w:ascii="Times New Roman" w:hAnsi="Times New Roman" w:cs="Times New Roman"/>
        </w:rPr>
        <w:t xml:space="preserve">$J \times \Delta n = - \nabla G$ </w:t>
      </w:r>
    </w:p>
    <w:p w14:paraId="55273831" w14:textId="77777777" w:rsidR="0023753A" w:rsidRPr="00E4224B" w:rsidRDefault="0023753A" w:rsidP="0023753A">
      <w:pPr>
        <w:numPr>
          <w:ilvl w:val="1"/>
          <w:numId w:val="8"/>
        </w:numPr>
        <w:rPr>
          <w:rFonts w:ascii="Times New Roman" w:hAnsi="Times New Roman" w:cs="Times New Roman"/>
        </w:rPr>
      </w:pPr>
      <w:r w:rsidRPr="00E4224B">
        <w:rPr>
          <w:rFonts w:ascii="Times New Roman" w:hAnsi="Times New Roman" w:cs="Times New Roman"/>
        </w:rPr>
        <w:t xml:space="preserve">Where J is the Jacobian matrix, and $\nabla G$ is the gradient of the Gibbs energy. </w:t>
      </w:r>
    </w:p>
    <w:p w14:paraId="5CA38A50" w14:textId="77777777" w:rsidR="0023753A" w:rsidRPr="00E4224B" w:rsidRDefault="0023753A" w:rsidP="0023753A">
      <w:pPr>
        <w:numPr>
          <w:ilvl w:val="0"/>
          <w:numId w:val="8"/>
        </w:numPr>
        <w:rPr>
          <w:rFonts w:ascii="Times New Roman" w:hAnsi="Times New Roman" w:cs="Times New Roman"/>
        </w:rPr>
      </w:pPr>
      <w:r w:rsidRPr="00E4224B">
        <w:rPr>
          <w:rFonts w:ascii="Times New Roman" w:hAnsi="Times New Roman" w:cs="Times New Roman"/>
        </w:rPr>
        <w:t xml:space="preserve">Line search: The application rate of the calculated corrections is optimized to ensure convergence. </w:t>
      </w:r>
    </w:p>
    <w:p w14:paraId="08FE0917" w14:textId="77777777" w:rsidR="0023753A" w:rsidRPr="00E4224B" w:rsidRDefault="0023753A" w:rsidP="0023753A">
      <w:pPr>
        <w:numPr>
          <w:ilvl w:val="0"/>
          <w:numId w:val="8"/>
        </w:numPr>
        <w:rPr>
          <w:rFonts w:ascii="Times New Roman" w:hAnsi="Times New Roman" w:cs="Times New Roman"/>
        </w:rPr>
      </w:pPr>
      <w:r w:rsidRPr="00E4224B">
        <w:rPr>
          <w:rFonts w:ascii="Times New Roman" w:hAnsi="Times New Roman" w:cs="Times New Roman"/>
        </w:rPr>
        <w:t xml:space="preserve">Convergence check: Iterations continue until the corrections drop below a certain tolerance value (e.g., $10^{-8}$). </w:t>
      </w:r>
    </w:p>
    <w:p w14:paraId="14AF6BA9" w14:textId="77777777" w:rsidR="0023753A" w:rsidRPr="00E4224B" w:rsidRDefault="0023753A" w:rsidP="0023753A">
      <w:pPr>
        <w:numPr>
          <w:ilvl w:val="0"/>
          <w:numId w:val="8"/>
        </w:numPr>
        <w:rPr>
          <w:rFonts w:ascii="Times New Roman" w:hAnsi="Times New Roman" w:cs="Times New Roman"/>
        </w:rPr>
      </w:pPr>
      <w:r w:rsidRPr="00E4224B">
        <w:rPr>
          <w:rFonts w:ascii="Times New Roman" w:hAnsi="Times New Roman" w:cs="Times New Roman"/>
        </w:rPr>
        <w:lastRenderedPageBreak/>
        <w:t xml:space="preserve">Applying constraints: In each iteration, element conservation (atom balance) and positive mole number constraints are applied via the method of Lagrange multipliers. </w:t>
      </w:r>
    </w:p>
    <w:p w14:paraId="28C1DDA1"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4. Cantera simulation process</w:t>
      </w:r>
      <w:r w:rsidRPr="00E4224B">
        <w:rPr>
          <w:rFonts w:ascii="Times New Roman" w:hAnsi="Times New Roman" w:cs="Times New Roman"/>
        </w:rPr>
        <w:t xml:space="preserve">. </w:t>
      </w:r>
    </w:p>
    <w:p w14:paraId="30603BE9"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Cantera can also switch between alternative equilibrium solvers (i.e., 'gibbs', 'vcs', 'element_potential') and adjust tolerance values in case of convergence issues. It also considers element conservation constraints, meaning that whatever amount of carbon, hydrogen, and oxygen enters the system, the total amounts remain the same at the exit; only their inter-molecular distributions change. Considering the inputs and outputs given in Figure 4, the simulation was performed, and the results were saved to the database. For each simulation, while the syngas composition at the reformer exit was recorded as a mole percentage; 5 main components were obtained: Hydrogen mole percentage ranges between 16.97 and 50.48. Carbon monoxide is between 1.11 and 20.05. Carbon dioxide is between 7.57 and 17.40. Methane is between 0 and 19.19. Water vapor is the remaining calculated portion. Thermodynamic properties were also recorded. Values such as enthalpy, entropy, and density were stored in the database. In this way, 1,350 thermodynamically verified data points were obtained. </w:t>
      </w:r>
    </w:p>
    <w:p w14:paraId="76E72BFD"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B.2.2 Prediction of bio-oil content with AI</w:t>
      </w:r>
      <w:r w:rsidRPr="00E4224B">
        <w:rPr>
          <w:rFonts w:ascii="Times New Roman" w:hAnsi="Times New Roman" w:cs="Times New Roman"/>
        </w:rPr>
        <w:t xml:space="preserve"> </w:t>
      </w:r>
    </w:p>
    <w:p w14:paraId="1D8F7AA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There are 1,350 simulation data points available. These data were split into 70% training, 15% validation, and 15% test sets as visualized in Figure 5: 944 samples for the training set, which is 69.9% of the total data. 203 samples for the validation set, which is 15%. 203 samples for the test set, which is also 15%. </w:t>
      </w:r>
    </w:p>
    <w:p w14:paraId="24612852"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5. Data preparation</w:t>
      </w:r>
      <w:r w:rsidRPr="00E4224B">
        <w:rPr>
          <w:rFonts w:ascii="Times New Roman" w:hAnsi="Times New Roman" w:cs="Times New Roman"/>
        </w:rPr>
        <w:t xml:space="preserve">. </w:t>
      </w:r>
    </w:p>
    <w:p w14:paraId="3E54887D"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There are 8 variables as input features. These are: (1) reformer temperature on the Celsius scale between 650 and 850, (2) pressure in bar between 5 and 30, (3) steam-to-carbon ratio between 2.0 and 6.0, (4) hydrogen mole percentage, (5) carbon monoxide mole percentage, (6) carbon dioxide mole percentage, (7) methane mole percentage, and (8) water vapor mole percentage. As output features, the goal is to predict the weight percentages of 6 bio-oil components. These are: aromatics (%w), acids (%w), alcohols (%w), furans (%w), phenols (%w), and aldehydes-ketones (%w). With this reverse predictive approach, the aim is to find out which bio-oil entered the reaction by looking at the syngas composition, and to increase prediction rates. Normally, going from bio-oil composition to syngas composition is an easier problem dictated by thermodynamic laws. However, we are attempting the exact opposite. But this is a thermodynamically ill-posed problem, because different bio-oils can produce similar syngas. Under equilibrium conditions, small differences in bio-oil composition may not be very prominent in the syngas composition. Thus, the problem is inherently difficult. </w:t>
      </w:r>
    </w:p>
    <w:p w14:paraId="4C04EDD0"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B.2.2.1 Classical machine learning methods</w:t>
      </w:r>
      <w:r w:rsidRPr="00E4224B">
        <w:rPr>
          <w:rFonts w:ascii="Times New Roman" w:hAnsi="Times New Roman" w:cs="Times New Roman"/>
        </w:rPr>
        <w:t xml:space="preserve"> </w:t>
      </w:r>
    </w:p>
    <w:p w14:paraId="74242C8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lastRenderedPageBreak/>
        <w:t xml:space="preserve">In the first stage, classical machine learning methods were tested. 3 different algorithms were evaluated. The first is linear regression, the simplest method. The second is Random Forest, a tree-based method. The third is XGBoost, an advanced tree method utilizing gradient boosting. The results obtained during the previous thesis study period were deemed insufficient. Linear regression performed very poorly on the test set. The overall average $R^2 = 0.332$, root mean square error (RMSE) = 13.38%, and mean absolute error (MAE) = 9.92%. Looking at it component by component, there is validation data for linear regression, but no detailed component-based $R^2$ values for the test, only the overall average is available. Random Forest and XGBoost results also failed to reach adequate $R^2$ values, as seen in Table 1. </w:t>
      </w:r>
    </w:p>
    <w:p w14:paraId="2ACE6EA6"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Table 1. First stage results</w:t>
      </w:r>
      <w:r w:rsidRPr="00E4224B">
        <w:rPr>
          <w:rFonts w:ascii="Times New Roman" w:hAnsi="Times New Roman" w:cs="Times New Roman"/>
        </w:rPr>
        <w:t xml:space="preserve"> </w:t>
      </w:r>
    </w:p>
    <w:tbl>
      <w:tblPr>
        <w:tblW w:w="0" w:type="auto"/>
        <w:tblCellSpacing w:w="15" w:type="dxa"/>
        <w:tblCellMar>
          <w:left w:w="0" w:type="dxa"/>
          <w:right w:w="0" w:type="dxa"/>
        </w:tblCellMar>
        <w:tblLook w:val="04A0" w:firstRow="1" w:lastRow="0" w:firstColumn="1" w:lastColumn="0" w:noHBand="0" w:noVBand="1"/>
      </w:tblPr>
      <w:tblGrid>
        <w:gridCol w:w="1845"/>
        <w:gridCol w:w="1631"/>
        <w:gridCol w:w="1160"/>
        <w:gridCol w:w="1040"/>
        <w:gridCol w:w="1453"/>
        <w:gridCol w:w="1160"/>
        <w:gridCol w:w="1055"/>
      </w:tblGrid>
      <w:tr w:rsidR="0023753A" w:rsidRPr="00E4224B" w14:paraId="24D0F7D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7A428"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161CF"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Random Forest R²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1FC6A"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D73E2"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364DE"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XGBoost R²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1623A"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23325"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MAE</w:t>
            </w:r>
          </w:p>
        </w:tc>
      </w:tr>
      <w:tr w:rsidR="0023753A" w:rsidRPr="00E4224B" w14:paraId="2CC607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003FC"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Aromatics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5CC71"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0C21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13.94%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40C8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9.55%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60AA9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E75F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13.28%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08DA0"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8.89%</w:t>
            </w:r>
          </w:p>
        </w:tc>
      </w:tr>
      <w:tr w:rsidR="0023753A" w:rsidRPr="00E4224B" w14:paraId="424A92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D3AB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Acids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24DA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0.783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AE5D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8.58%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FB2C8"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A8868"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0.780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FF13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8.64%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6D448"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6.21%</w:t>
            </w:r>
          </w:p>
        </w:tc>
      </w:tr>
      <w:tr w:rsidR="0023753A" w:rsidRPr="00E4224B" w14:paraId="3A6C33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738F1"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Alcohols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058E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0.363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4F9094"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A3E9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5.46%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F922D"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0.541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79D1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8.52%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265E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5.12%</w:t>
            </w:r>
          </w:p>
        </w:tc>
      </w:tr>
      <w:tr w:rsidR="0023753A" w:rsidRPr="00E4224B" w14:paraId="5E54BC1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398B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Furans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7D2CB"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0.681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E95C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2.64%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85D46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1.96%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35C9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0.731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33A5D"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2.42%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2B5C8"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1.75%</w:t>
            </w:r>
          </w:p>
        </w:tc>
      </w:tr>
      <w:tr w:rsidR="0023753A" w:rsidRPr="00E4224B" w14:paraId="2593E2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13AC9"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Phenols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92F3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0.544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948CD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11.65%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D1C94"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7.74%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E443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0.552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3CB64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11.55%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9544D"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7.73%</w:t>
            </w:r>
          </w:p>
        </w:tc>
      </w:tr>
      <w:tr w:rsidR="0023753A" w:rsidRPr="00E4224B" w14:paraId="11ED1E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A9129"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Aldehydes-ketones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F94BB"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0.206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9A4AD"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12.15%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F330C"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6.76%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64806"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0.148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5E0E8"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12.59%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1C5C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6.90%</w:t>
            </w:r>
          </w:p>
        </w:tc>
      </w:tr>
      <w:tr w:rsidR="0023753A" w:rsidRPr="00E4224B" w14:paraId="776703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BE86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Overall average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0D1B9"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0.571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7A9986"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9.83%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0722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774F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0.603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00AAA"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9.50%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6062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6.10%</w:t>
            </w:r>
          </w:p>
        </w:tc>
      </w:tr>
      <w:tr w:rsidR="0023753A" w:rsidRPr="00E4224B" w14:paraId="04510A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4C0EA"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9AC59"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595EB"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52C10"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85DE4"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6EC3E"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1B608" w14:textId="77777777" w:rsidR="0023753A" w:rsidRPr="00E4224B" w:rsidRDefault="0023753A" w:rsidP="0023753A">
            <w:pPr>
              <w:rPr>
                <w:rFonts w:ascii="Times New Roman" w:hAnsi="Times New Roman" w:cs="Times New Roman"/>
              </w:rPr>
            </w:pPr>
          </w:p>
        </w:tc>
      </w:tr>
    </w:tbl>
    <w:p w14:paraId="340DAAAB"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A very interesting finding was obtained when performing feature importance analysis. The feature importance levels obtained from the Random Forest model were as follows: Methane mole percentage 27.1%, carbon dioxide mole percentage 26.0%, water vapor mole percentage 20.5%, hydrogen mole percentage 11.9%, carbon monoxide mole percentage 9.9%, reformer temperature 3.1%, pressure 1.0%, steam-to-carbon ratio 0.6%. While the syngas composition has a total importance degree of 88.4%, process conditions account for only 4.6%. This is actually a </w:t>
      </w:r>
      <w:r w:rsidRPr="00E4224B">
        <w:rPr>
          <w:rFonts w:ascii="Times New Roman" w:hAnsi="Times New Roman" w:cs="Times New Roman"/>
        </w:rPr>
        <w:lastRenderedPageBreak/>
        <w:t xml:space="preserve">thermodynamically logical result. Because under equilibrium conditions, the effect of bio-oil composition on syngas is weak. However, small differences in syngas composition reflect the carbon-hydrogen-oxygen balance of the bio-oil, and this information becomes the most valuable. </w:t>
      </w:r>
    </w:p>
    <w:p w14:paraId="0B5942DB"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B.2.2.2 Deep learning methods</w:t>
      </w:r>
      <w:r w:rsidRPr="00E4224B">
        <w:rPr>
          <w:rFonts w:ascii="Times New Roman" w:hAnsi="Times New Roman" w:cs="Times New Roman"/>
        </w:rPr>
        <w:t xml:space="preserve"> </w:t>
      </w:r>
    </w:p>
    <w:p w14:paraId="7A66922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Since satisfactory results could not be obtained from classical methods, deep learning was pursued. A multi-layer artificial neural network, namely a Multi-Layer Perceptron (MLP), was designed. The network consists of 3 hidden layers. There are exactly 128 neurons in the first hidden layer, 64 neurons in the second hidden layer, and 32 neurons in the third hidden layer. The overall MLP model architecture is as shown in Figure 6: 8 input neurons, then the first hidden layer with 128 neurons, followed by the second hidden layer with 64 neurons, then the third hidden layer with 32 neurons, and finally 6 output neurons. Batch normalization was applied after each hidden layer. Dropout regularization was also used, applying 30% dropout in the first hidden layer, 20% in the second layer, and 10% in the third layer. </w:t>
      </w:r>
    </w:p>
    <w:p w14:paraId="4C014CF6"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6. MLP model architecture</w:t>
      </w:r>
      <w:r w:rsidRPr="00E4224B">
        <w:rPr>
          <w:rFonts w:ascii="Times New Roman" w:hAnsi="Times New Roman" w:cs="Times New Roman"/>
        </w:rPr>
        <w:t xml:space="preserve">. </w:t>
      </w:r>
    </w:p>
    <w:p w14:paraId="68F26A2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Two different model architectures were tested: a standard MLP with a linear output layer and a constrained MLP using a softmax output function. With the constrained MLP, it is guaranteed that the sum of the predicted components is always exactly 100%. Both models were trained. The training parameters were as follows: batch size = 32, maximum number of epochs = 200, early stopping patience parameter = 30 epochs, learning rate reduction patience parameter = 15 epochs. The Adaptive Moment Estimation (Adam) optimizer was used with the initial learning rate set to the default value. The constrained MLP yielded the following results on the validation set: Aromatics $R^2 = 0.908$, acids $R^2 = 0.815$, alcohols $R^2 = 0.867$, furans $R^2 = 0.774$, phenols $R^2 = 0.480$, aldehydes-ketones $R^2 = 0.558$. The validation average $R^2 = 0.750$. The constrained MLP yielded the following results on the test set: Aromatics $R^2 = 0.921$, acids $R^2 = 0.792$, alcohols $R^2 = 0.836$, furans $R^2 = 0.779$, phenols $R^2 = 0.583$, aldehydes-ketones $R^2 = 0.561$. The test average $R^2 = 0.745$, average RMSE = 15.06%, and average MAE = 11.54%. </w:t>
      </w:r>
    </w:p>
    <w:p w14:paraId="36DE825A"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Table 2. Standard MLP results</w:t>
      </w:r>
      <w:r w:rsidRPr="00E4224B">
        <w:rPr>
          <w:rFonts w:ascii="Times New Roman" w:hAnsi="Times New Roman" w:cs="Times New Roman"/>
        </w:rPr>
        <w:t xml:space="preserve"> </w:t>
      </w:r>
    </w:p>
    <w:tbl>
      <w:tblPr>
        <w:tblW w:w="0" w:type="auto"/>
        <w:tblCellSpacing w:w="15" w:type="dxa"/>
        <w:tblCellMar>
          <w:left w:w="0" w:type="dxa"/>
          <w:right w:w="0" w:type="dxa"/>
        </w:tblCellMar>
        <w:tblLook w:val="04A0" w:firstRow="1" w:lastRow="0" w:firstColumn="1" w:lastColumn="0" w:noHBand="0" w:noVBand="1"/>
      </w:tblPr>
      <w:tblGrid>
        <w:gridCol w:w="1997"/>
        <w:gridCol w:w="1866"/>
        <w:gridCol w:w="1114"/>
        <w:gridCol w:w="980"/>
        <w:gridCol w:w="1278"/>
        <w:gridCol w:w="1114"/>
        <w:gridCol w:w="995"/>
      </w:tblGrid>
      <w:tr w:rsidR="0023753A" w:rsidRPr="00E4224B" w14:paraId="7299D70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3B9509"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121AF"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Validation Set R²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5FEE2"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0FE272"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EE7AF"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Test Set R²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B0E3A"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D7EE4"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MAE</w:t>
            </w:r>
          </w:p>
        </w:tc>
      </w:tr>
      <w:tr w:rsidR="0023753A" w:rsidRPr="00E4224B" w14:paraId="06F9E1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B1E7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Aromatics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C2C2B"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75A44"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11.14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ECB3A"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6.83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758D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0.942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E747BC"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8.70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7A9CD"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6.35</w:t>
            </w:r>
          </w:p>
        </w:tc>
      </w:tr>
      <w:tr w:rsidR="0023753A" w:rsidRPr="00E4224B" w14:paraId="6A0AE5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46FC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Acids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02ED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91748D"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6.92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11086"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5.13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3D39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0.877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881A6"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28F9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4.80</w:t>
            </w:r>
          </w:p>
        </w:tc>
      </w:tr>
      <w:tr w:rsidR="0023753A" w:rsidRPr="00E4224B" w14:paraId="129E4F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C2F8"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lastRenderedPageBreak/>
              <w:t>Alcohols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272D9"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C9EA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4.56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EA8B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3.08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B16C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5015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4.82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06F6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3.41</w:t>
            </w:r>
          </w:p>
        </w:tc>
      </w:tr>
      <w:tr w:rsidR="0023753A" w:rsidRPr="00E4224B" w14:paraId="556EDD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C456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Furans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0781B"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0.902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C9A4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729A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0.96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5A450"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0.897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D7731"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25C61"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1.05</w:t>
            </w:r>
          </w:p>
        </w:tc>
      </w:tr>
      <w:tr w:rsidR="0023753A" w:rsidRPr="00E4224B" w14:paraId="339C1C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D2B5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Phenols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7ECD"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0.539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E6D8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11.42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C4249"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7C27C"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0.762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CF254"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8.42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94DD8"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5.28</w:t>
            </w:r>
          </w:p>
        </w:tc>
      </w:tr>
      <w:tr w:rsidR="0023753A" w:rsidRPr="00E4224B" w14:paraId="3CBC17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79996"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Aldehydes-ketones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BC58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5315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5.50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3C9E1"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3.50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4715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CDDB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5.30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2776A"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3.29</w:t>
            </w:r>
          </w:p>
        </w:tc>
      </w:tr>
      <w:tr w:rsidR="0023753A" w:rsidRPr="00E4224B" w14:paraId="53FF4A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6AB36"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Overall average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30764"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F59D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6.82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5CCF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4.33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50D5B"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0.863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E05A5"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5.87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B5D83"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4.03</w:t>
            </w:r>
          </w:p>
        </w:tc>
      </w:tr>
      <w:tr w:rsidR="0023753A" w:rsidRPr="00E4224B" w14:paraId="7C067E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83684"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00FD6"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C7331"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BC863"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35089"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5780E" w14:textId="77777777" w:rsidR="0023753A" w:rsidRPr="00E4224B" w:rsidRDefault="0023753A" w:rsidP="0023753A">
            <w:pPr>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B7439" w14:textId="77777777" w:rsidR="0023753A" w:rsidRPr="00E4224B" w:rsidRDefault="0023753A" w:rsidP="0023753A">
            <w:pPr>
              <w:rPr>
                <w:rFonts w:ascii="Times New Roman" w:hAnsi="Times New Roman" w:cs="Times New Roman"/>
              </w:rPr>
            </w:pPr>
          </w:p>
        </w:tc>
      </w:tr>
    </w:tbl>
    <w:p w14:paraId="20414516"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While the sum of the predicted components in the constrained model was always exactly 100.00% $\pm$ 0.00%, this sum varied around an average of 99.85% $\pm$ 7.4% in the standard MLP. Generalization ability is an important result that should be noted. For the standard MLP, validation $R^2 = 0.863$, test $R^2 = 0.863$, the difference is exactly 0.000. This implies perfect generalization. For Random Forest, validation $R^2 = 0.555$, test $R^2 = 0.571$, a difference of +0.016. For XGBoost, validation $R^2 = 0.544$, test $R^2 = 0.603$, a difference of +0.059. No overfitting was detected in any model. </w:t>
      </w:r>
    </w:p>
    <w:p w14:paraId="03042CF2"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B.2.2.3 Ensemble Learning Methods</w:t>
      </w:r>
      <w:r w:rsidRPr="00E4224B">
        <w:rPr>
          <w:rFonts w:ascii="Times New Roman" w:hAnsi="Times New Roman" w:cs="Times New Roman"/>
        </w:rPr>
        <w:t xml:space="preserve"> </w:t>
      </w:r>
    </w:p>
    <w:p w14:paraId="523CEC1F"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In the fourth stage, ensemble methods were tested. 3 different ensemble strategies were evaluated, and their performances on the test set were measured. </w:t>
      </w:r>
    </w:p>
    <w:p w14:paraId="063B418D" w14:textId="77777777" w:rsidR="0023753A" w:rsidRPr="00E4224B" w:rsidRDefault="0023753A" w:rsidP="0023753A">
      <w:pPr>
        <w:numPr>
          <w:ilvl w:val="0"/>
          <w:numId w:val="9"/>
        </w:numPr>
        <w:rPr>
          <w:rFonts w:ascii="Times New Roman" w:hAnsi="Times New Roman" w:cs="Times New Roman"/>
        </w:rPr>
      </w:pPr>
      <w:r w:rsidRPr="00E4224B">
        <w:rPr>
          <w:rFonts w:ascii="Times New Roman" w:hAnsi="Times New Roman" w:cs="Times New Roman"/>
          <w:b/>
          <w:bCs/>
        </w:rPr>
        <w:t>Simple average ensemble</w:t>
      </w:r>
      <w:r w:rsidRPr="00E4224B">
        <w:rPr>
          <w:rFonts w:ascii="Times New Roman" w:hAnsi="Times New Roman" w:cs="Times New Roman"/>
        </w:rPr>
        <w:t xml:space="preserve">, an equal-weight average of the predictions from Random Forest + XGBoost + standard MLP: Overall average $R^2 = 0.746$, average RMSE = 7.69%, average MAE = 5.16%. </w:t>
      </w:r>
    </w:p>
    <w:p w14:paraId="2A4E7200" w14:textId="77777777" w:rsidR="0023753A" w:rsidRPr="00E4224B" w:rsidRDefault="0023753A" w:rsidP="0023753A">
      <w:pPr>
        <w:numPr>
          <w:ilvl w:val="0"/>
          <w:numId w:val="9"/>
        </w:numPr>
        <w:rPr>
          <w:rFonts w:ascii="Times New Roman" w:hAnsi="Times New Roman" w:cs="Times New Roman"/>
        </w:rPr>
      </w:pPr>
      <w:r w:rsidRPr="00E4224B">
        <w:rPr>
          <w:rFonts w:ascii="Times New Roman" w:hAnsi="Times New Roman" w:cs="Times New Roman"/>
          <w:b/>
          <w:bCs/>
        </w:rPr>
        <w:t>Weighted average ensemble</w:t>
      </w:r>
      <w:r w:rsidRPr="00E4224B">
        <w:rPr>
          <w:rFonts w:ascii="Times New Roman" w:hAnsi="Times New Roman" w:cs="Times New Roman"/>
        </w:rPr>
        <w:t xml:space="preserve">, 50% weight to standard MLP, 25% to XGBoost, 25% to Random Forest: Overall average $R^2 = 0.797$, average RMSE = 6.94%, average MAE = 4.75%. This was the best of the ensemble methods but still worse than the standard MLP. </w:t>
      </w:r>
    </w:p>
    <w:p w14:paraId="1E78312F" w14:textId="77777777" w:rsidR="0023753A" w:rsidRPr="00E4224B" w:rsidRDefault="0023753A" w:rsidP="0023753A">
      <w:pPr>
        <w:numPr>
          <w:ilvl w:val="0"/>
          <w:numId w:val="9"/>
        </w:numPr>
        <w:rPr>
          <w:rFonts w:ascii="Times New Roman" w:hAnsi="Times New Roman" w:cs="Times New Roman"/>
        </w:rPr>
      </w:pPr>
      <w:r w:rsidRPr="00E4224B">
        <w:rPr>
          <w:rFonts w:ascii="Times New Roman" w:hAnsi="Times New Roman" w:cs="Times New Roman"/>
          <w:b/>
          <w:bCs/>
        </w:rPr>
        <w:t>Stacking ensemble</w:t>
      </w:r>
      <w:r w:rsidRPr="00E4224B">
        <w:rPr>
          <w:rFonts w:ascii="Times New Roman" w:hAnsi="Times New Roman" w:cs="Times New Roman"/>
        </w:rPr>
        <w:t xml:space="preserve"> using a Ridge regression meta-model: Overall average $R^2 = 0.562$, average RMSE = 9.95%, average MAE = 6.34%. This was the worst ensemble result. </w:t>
      </w:r>
    </w:p>
    <w:p w14:paraId="0403A0FC"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lastRenderedPageBreak/>
        <w:t>B.2.2.4 Method Comparison</w:t>
      </w:r>
      <w:r w:rsidRPr="00E4224B">
        <w:rPr>
          <w:rFonts w:ascii="Times New Roman" w:hAnsi="Times New Roman" w:cs="Times New Roman"/>
        </w:rPr>
        <w:t xml:space="preserve"> </w:t>
      </w:r>
    </w:p>
    <w:p w14:paraId="1A438CE9"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When all methods are compared, the ranking according to overall average $R^2$ values on the test set is as follows: First is standard MLP ($R^2 = 0.863$), second is weighted ensemble ($R^2 = 0.797$), third is simple average ensemble ($R^2 = 0.746$), fourth is XGBoost ($R^2 = 0.603$), fifth is Random Forest ($R^2 = 0.571$), sixth is stacking ensemble ($R^2 = 0.562$), and seventh is linear regression ($R^2 = 0.332$). Ranking in terms of mean absolute error (MAE): First is standard MLP (MAE = 4.03%), second is weighted ensemble (MAE = 4.75%), third is simple average (MAE = 5.16%), fourth is XGBoost (MAE = 6.10%), fifth is Random Forest (MAE = 6.25%), sixth is stacking (MAE = 6.34%), and seventh is linear regression (MAE = 9.92%). While MLP alone yields $R^2 = 0.863$, when it is combined with Random Forest ($R^2 = 0.571$) and XGBoost ($R^2 = 0.603$) in a weighted average manner, $R^2$ was found to be only 0.797. This means a performance loss of 7.6%. In the simple average ($R^2 = 0.746$), a performance loss of 13.6% was observed. The stacking approach ($R^2 = 0.562$), on the other hand, performed much lower than XGBoost. </w:t>
      </w:r>
    </w:p>
    <w:p w14:paraId="2C818450"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7. Model training results</w:t>
      </w:r>
      <w:r w:rsidRPr="00E4224B">
        <w:rPr>
          <w:rFonts w:ascii="Times New Roman" w:hAnsi="Times New Roman" w:cs="Times New Roman"/>
        </w:rPr>
        <w:t xml:space="preserve">. </w:t>
      </w:r>
    </w:p>
    <w:p w14:paraId="7FBDB75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This study is the first machine learning-based inverse model in the literature for bio-oil steam reforming. When previous studies are examined, a model development effort capable of going backward from syngas composition to bio-oil composition has not yet been encountered. With the results obtained in this thesis study, it was demonstrated that deep learning is far superior to classical machine learning in such inverse thermodynamic problems. An exact relative improvement of 51.1% was recorded, meaning an increase from 0.571 to 0.863. Additionally, it was experimentally shown that ensemble methods can have an adverse effect in the presence of a strong base model. This is a methodological insight. The feature importance analysis revealed that methane (27.1%) and carbon dioxide (26.0%) are the most informative features; this reflects the carbon-hydrogen-oxygen balance of the bio-oil and is considered consistent with chemical engineering intuition. </w:t>
      </w:r>
    </w:p>
    <w:p w14:paraId="2C2F9358"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8. Feature importance analysis results</w:t>
      </w:r>
      <w:r w:rsidRPr="00E4224B">
        <w:rPr>
          <w:rFonts w:ascii="Times New Roman" w:hAnsi="Times New Roman" w:cs="Times New Roman"/>
        </w:rPr>
        <w:t xml:space="preserve">. </w:t>
      </w:r>
    </w:p>
    <w:p w14:paraId="383471DC"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There are 3 main arguments. First, the developed multi-layer perceptron model outperformed traditional machine learning by 51.1% with an $R^2 = 0.863$ and an average MAE = 4.03% on the test set. Second, the comprehensive comparison of 7 different modeling approaches showed that ensemble methods reduce performance in the presence of a strong base model; even the weighted ensemble ($R^2 = 0.797$) remained below the standard MLP ($R^2 = 0.863$) performance. Third, the feature importance analysis showed that methane (27.1%) and carbon dioxide (26.0%) account for 88.4% of the predictive power, reflecting the carbon-hydrogen-oxygen balance of the bio-oil. The inverse thermodynamic problem requires capturing complex non-linear interactions among multiple syngas components. The 3-layer architecture of the MLP with 128, 64, and 32 neuron layers and batch normalization learns hierarchical representations </w:t>
      </w:r>
      <w:r w:rsidRPr="00E4224B">
        <w:rPr>
          <w:rFonts w:ascii="Times New Roman" w:hAnsi="Times New Roman" w:cs="Times New Roman"/>
        </w:rPr>
        <w:lastRenderedPageBreak/>
        <w:t xml:space="preserve">and can capture these interactions that tree-based models cannot. An $R^2 = 0.863$ against a Random Forest $R^2 = 0.571$ on the test set demonstrates this advantage. </w:t>
      </w:r>
    </w:p>
    <w:p w14:paraId="4F00C50F"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9. Model performance and ensemble comparison</w:t>
      </w:r>
      <w:r w:rsidRPr="00E4224B">
        <w:rPr>
          <w:rFonts w:ascii="Times New Roman" w:hAnsi="Times New Roman" w:cs="Times New Roman"/>
        </w:rPr>
        <w:t xml:space="preserve">. </w:t>
      </w:r>
    </w:p>
    <w:p w14:paraId="6B94BCD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3 ensemble approaches were tested: simple average $R^2 = 0.746$, weighted average $R^2 = 0.797$, and stacking $R^2 = 0.562$. Because the standard MLP already achieved a high performance like $R^2 = 0.863$, combining it with weaker models like Random Forest ($R^2 = 0.571$) and XGBoost ($R^2 = 0.603$) dilutes the performance. This situation indicates that ensemble works only when there are base models of similar strength that make different errors. </w:t>
      </w:r>
    </w:p>
    <w:p w14:paraId="441E8A7B" w14:textId="77777777" w:rsidR="0023753A" w:rsidRPr="00E4224B" w:rsidRDefault="0023753A" w:rsidP="0023753A">
      <w:pPr>
        <w:rPr>
          <w:rFonts w:ascii="Times New Roman" w:hAnsi="Times New Roman" w:cs="Times New Roman"/>
        </w:rPr>
      </w:pPr>
      <w:r w:rsidRPr="00E4224B">
        <w:rPr>
          <w:rFonts w:ascii="Times New Roman" w:hAnsi="Times New Roman" w:cs="Times New Roman"/>
          <w:b/>
          <w:bCs/>
        </w:rPr>
        <w:t>B.2.2.4 End-of-Term Study Results</w:t>
      </w:r>
      <w:r w:rsidRPr="00E4224B">
        <w:rPr>
          <w:rFonts w:ascii="Times New Roman" w:hAnsi="Times New Roman" w:cs="Times New Roman"/>
        </w:rPr>
        <w:t xml:space="preserve"> </w:t>
      </w:r>
    </w:p>
    <w:p w14:paraId="62B37802"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In conclusion, during the data preparation phase, 30 bio-oil compositions $\times$ 45 process conditions = 1,350 samples were cleaned and normalized. In the baseline models phase, linear regression ($R^2 = 0.332$), Random Forest ($R^2 = 0.571$), and XGBoost ($R^2 = 0.603$) were trained. In the deep learning phase, the standard MLP ($R^2 = 0.863$) showed the best performance; a higher $R^2$ ($R^2 = 0.745$) could not be achieved with the constrained MLP. The performances calculated in the collective learning approach were ranked as weighted ($R^2 = 0.797$), simple average ($R^2 = 0.746$), and stacking ($R^2 = 0.562$), but could not surpass the standard MLP results. </w:t>
      </w:r>
    </w:p>
    <w:p w14:paraId="1A0FD113"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10. Summary workflow of the inverse prediction method</w:t>
      </w:r>
      <w:r w:rsidRPr="00E4224B">
        <w:rPr>
          <w:rFonts w:ascii="Times New Roman" w:hAnsi="Times New Roman" w:cs="Times New Roman"/>
        </w:rPr>
        <w:t xml:space="preserve">. </w:t>
      </w:r>
    </w:p>
    <w:p w14:paraId="6BD49267"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In summary: </w:t>
      </w:r>
    </w:p>
    <w:p w14:paraId="550164B7" w14:textId="77777777" w:rsidR="0023753A" w:rsidRPr="00E4224B" w:rsidRDefault="0023753A" w:rsidP="0023753A">
      <w:pPr>
        <w:numPr>
          <w:ilvl w:val="0"/>
          <w:numId w:val="10"/>
        </w:numPr>
        <w:rPr>
          <w:rFonts w:ascii="Times New Roman" w:hAnsi="Times New Roman" w:cs="Times New Roman"/>
        </w:rPr>
      </w:pPr>
      <w:r w:rsidRPr="00E4224B">
        <w:rPr>
          <w:rFonts w:ascii="Times New Roman" w:hAnsi="Times New Roman" w:cs="Times New Roman"/>
        </w:rPr>
        <w:t xml:space="preserve">Using MLP as the main model. </w:t>
      </w:r>
    </w:p>
    <w:p w14:paraId="31819E84" w14:textId="77777777" w:rsidR="0023753A" w:rsidRPr="00E4224B" w:rsidRDefault="0023753A" w:rsidP="0023753A">
      <w:pPr>
        <w:numPr>
          <w:ilvl w:val="0"/>
          <w:numId w:val="10"/>
        </w:numPr>
        <w:rPr>
          <w:rFonts w:ascii="Times New Roman" w:hAnsi="Times New Roman" w:cs="Times New Roman"/>
        </w:rPr>
      </w:pPr>
      <w:r w:rsidRPr="00E4224B">
        <w:rPr>
          <w:rFonts w:ascii="Times New Roman" w:hAnsi="Times New Roman" w:cs="Times New Roman"/>
        </w:rPr>
        <w:t xml:space="preserve">Highest accuracy on the test set, </w:t>
      </w:r>
    </w:p>
    <w:p w14:paraId="54AB0638" w14:textId="77777777" w:rsidR="0023753A" w:rsidRPr="00E4224B" w:rsidRDefault="0023753A" w:rsidP="0023753A">
      <w:pPr>
        <w:numPr>
          <w:ilvl w:val="0"/>
          <w:numId w:val="10"/>
        </w:numPr>
        <w:rPr>
          <w:rFonts w:ascii="Times New Roman" w:hAnsi="Times New Roman" w:cs="Times New Roman"/>
        </w:rPr>
      </w:pPr>
      <w:r w:rsidRPr="00E4224B">
        <w:rPr>
          <w:rFonts w:ascii="Times New Roman" w:hAnsi="Times New Roman" w:cs="Times New Roman"/>
        </w:rPr>
        <w:t xml:space="preserve">When bio-oil components were examined, excellent results were obtained, such as $R^2 = 0.942$ for aromatics, $R^2 = 0.877$ for acids, $R^2 = 0.897$ for furans, $R^2 = 0.853$ for alcohols, $R^2 = 0.849$ for aldehydes-ketones, and even for the lowest performing phenols, $R^2 = 0.762$. </w:t>
      </w:r>
    </w:p>
    <w:p w14:paraId="401A6B22" w14:textId="77777777" w:rsidR="0023753A" w:rsidRPr="00E4224B" w:rsidRDefault="0023753A" w:rsidP="0023753A">
      <w:pPr>
        <w:rPr>
          <w:rFonts w:ascii="Times New Roman" w:hAnsi="Times New Roman" w:cs="Times New Roman"/>
        </w:rPr>
      </w:pPr>
      <w:r w:rsidRPr="00E4224B">
        <w:rPr>
          <w:rFonts w:ascii="Times New Roman" w:hAnsi="Times New Roman" w:cs="Times New Roman"/>
          <w:i/>
          <w:iCs/>
        </w:rPr>
        <w:t>Figure 11. Inverse prediction usage flow and summary of results obtained with standard MLP</w:t>
      </w:r>
      <w:r w:rsidRPr="00E4224B">
        <w:rPr>
          <w:rFonts w:ascii="Times New Roman" w:hAnsi="Times New Roman" w:cs="Times New Roman"/>
        </w:rPr>
        <w:t xml:space="preserve">. </w:t>
      </w:r>
    </w:p>
    <w:p w14:paraId="508CDA8E" w14:textId="77777777" w:rsidR="0023753A" w:rsidRPr="00E4224B" w:rsidRDefault="0023753A" w:rsidP="0023753A">
      <w:pPr>
        <w:rPr>
          <w:rFonts w:ascii="Times New Roman" w:hAnsi="Times New Roman" w:cs="Times New Roman"/>
        </w:rPr>
      </w:pPr>
      <w:r w:rsidRPr="00E4224B">
        <w:rPr>
          <w:rFonts w:ascii="Times New Roman" w:hAnsi="Times New Roman" w:cs="Times New Roman"/>
        </w:rPr>
        <w:t xml:space="preserve">Using 1,350 clean data points derived from 3,150 thermodynamically valid Cantera simulations, 8 input features, and 6 selected output features, the first inverse machine learning model for the bio-oil steam reforming process was developed (Figure 10). The standard MLP with a 128-64-32 neuron architecture achieved a performance of $R^2 = 0.863$ and MAE = 4.03% on the test set. Deep learning outperformed Random Forest by 51.1%. The inverse prediction usage flow and the summary of bio-oil composition results obtained with the standard MLP are shown in Figure 10. </w:t>
      </w:r>
    </w:p>
    <w:p w14:paraId="741F8FEE" w14:textId="77777777" w:rsidR="00CD1744" w:rsidRPr="00E4224B" w:rsidRDefault="00CD1744" w:rsidP="0023753A">
      <w:pPr>
        <w:rPr>
          <w:rFonts w:ascii="Times New Roman" w:hAnsi="Times New Roman" w:cs="Times New Roman"/>
        </w:rPr>
      </w:pPr>
    </w:p>
    <w:sectPr w:rsidR="00CD1744" w:rsidRPr="00E4224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03B9E"/>
    <w:multiLevelType w:val="multilevel"/>
    <w:tmpl w:val="A41A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452232"/>
    <w:multiLevelType w:val="multilevel"/>
    <w:tmpl w:val="249E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8B190C"/>
    <w:multiLevelType w:val="multilevel"/>
    <w:tmpl w:val="0936C1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B007A2"/>
    <w:multiLevelType w:val="multilevel"/>
    <w:tmpl w:val="10C4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814F84"/>
    <w:multiLevelType w:val="multilevel"/>
    <w:tmpl w:val="60565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B27F8B"/>
    <w:multiLevelType w:val="multilevel"/>
    <w:tmpl w:val="A210D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DA0649"/>
    <w:multiLevelType w:val="multilevel"/>
    <w:tmpl w:val="7996E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BD0CF9"/>
    <w:multiLevelType w:val="multilevel"/>
    <w:tmpl w:val="D738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FD063C"/>
    <w:multiLevelType w:val="multilevel"/>
    <w:tmpl w:val="CF88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5754A0"/>
    <w:multiLevelType w:val="multilevel"/>
    <w:tmpl w:val="9258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5388135">
    <w:abstractNumId w:val="9"/>
  </w:num>
  <w:num w:numId="2" w16cid:durableId="1648588507">
    <w:abstractNumId w:val="7"/>
  </w:num>
  <w:num w:numId="3" w16cid:durableId="1093822499">
    <w:abstractNumId w:val="0"/>
  </w:num>
  <w:num w:numId="4" w16cid:durableId="700010378">
    <w:abstractNumId w:val="5"/>
  </w:num>
  <w:num w:numId="5" w16cid:durableId="2026327727">
    <w:abstractNumId w:val="1"/>
  </w:num>
  <w:num w:numId="6" w16cid:durableId="1294945593">
    <w:abstractNumId w:val="4"/>
  </w:num>
  <w:num w:numId="7" w16cid:durableId="1135831594">
    <w:abstractNumId w:val="3"/>
  </w:num>
  <w:num w:numId="8" w16cid:durableId="376587090">
    <w:abstractNumId w:val="2"/>
  </w:num>
  <w:num w:numId="9" w16cid:durableId="222914902">
    <w:abstractNumId w:val="8"/>
  </w:num>
  <w:num w:numId="10" w16cid:durableId="3243631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744"/>
    <w:rsid w:val="00010FA6"/>
    <w:rsid w:val="000A7CC1"/>
    <w:rsid w:val="00125824"/>
    <w:rsid w:val="001A72EE"/>
    <w:rsid w:val="001C0E52"/>
    <w:rsid w:val="002361D6"/>
    <w:rsid w:val="0023753A"/>
    <w:rsid w:val="002716CB"/>
    <w:rsid w:val="003C4D53"/>
    <w:rsid w:val="004177BE"/>
    <w:rsid w:val="004579B9"/>
    <w:rsid w:val="004B305E"/>
    <w:rsid w:val="0050701C"/>
    <w:rsid w:val="005560C5"/>
    <w:rsid w:val="005836A4"/>
    <w:rsid w:val="0069168C"/>
    <w:rsid w:val="006B6820"/>
    <w:rsid w:val="007411FF"/>
    <w:rsid w:val="00792DA6"/>
    <w:rsid w:val="007957BF"/>
    <w:rsid w:val="008B478D"/>
    <w:rsid w:val="0094528E"/>
    <w:rsid w:val="00B5368B"/>
    <w:rsid w:val="00BF4EAA"/>
    <w:rsid w:val="00C04390"/>
    <w:rsid w:val="00C2740C"/>
    <w:rsid w:val="00CA7BB9"/>
    <w:rsid w:val="00CB593D"/>
    <w:rsid w:val="00CD1744"/>
    <w:rsid w:val="00DF16D8"/>
    <w:rsid w:val="00E4224B"/>
    <w:rsid w:val="00F61362"/>
    <w:rsid w:val="00FC65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B8D90"/>
  <w15:chartTrackingRefBased/>
  <w15:docId w15:val="{3E29A904-182F-430E-BCD6-F495BD0BF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CD17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CD17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CD1744"/>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CD1744"/>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CD1744"/>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CD1744"/>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D1744"/>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D1744"/>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D1744"/>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D1744"/>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CD1744"/>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CD1744"/>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CD1744"/>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CD1744"/>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CD1744"/>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D1744"/>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D1744"/>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D1744"/>
    <w:rPr>
      <w:rFonts w:eastAsiaTheme="majorEastAsia" w:cstheme="majorBidi"/>
      <w:color w:val="272727" w:themeColor="text1" w:themeTint="D8"/>
    </w:rPr>
  </w:style>
  <w:style w:type="paragraph" w:styleId="KonuBal">
    <w:name w:val="Title"/>
    <w:basedOn w:val="Normal"/>
    <w:next w:val="Normal"/>
    <w:link w:val="KonuBalChar"/>
    <w:uiPriority w:val="10"/>
    <w:qFormat/>
    <w:rsid w:val="00CD17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D1744"/>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D1744"/>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D1744"/>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D1744"/>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D1744"/>
    <w:rPr>
      <w:i/>
      <w:iCs/>
      <w:color w:val="404040" w:themeColor="text1" w:themeTint="BF"/>
    </w:rPr>
  </w:style>
  <w:style w:type="paragraph" w:styleId="ListeParagraf">
    <w:name w:val="List Paragraph"/>
    <w:basedOn w:val="Normal"/>
    <w:uiPriority w:val="34"/>
    <w:qFormat/>
    <w:rsid w:val="00CD1744"/>
    <w:pPr>
      <w:ind w:left="720"/>
      <w:contextualSpacing/>
    </w:pPr>
  </w:style>
  <w:style w:type="character" w:styleId="GlVurgulama">
    <w:name w:val="Intense Emphasis"/>
    <w:basedOn w:val="VarsaylanParagrafYazTipi"/>
    <w:uiPriority w:val="21"/>
    <w:qFormat/>
    <w:rsid w:val="00CD1744"/>
    <w:rPr>
      <w:i/>
      <w:iCs/>
      <w:color w:val="2F5496" w:themeColor="accent1" w:themeShade="BF"/>
    </w:rPr>
  </w:style>
  <w:style w:type="paragraph" w:styleId="GlAlnt">
    <w:name w:val="Intense Quote"/>
    <w:basedOn w:val="Normal"/>
    <w:next w:val="Normal"/>
    <w:link w:val="GlAlntChar"/>
    <w:uiPriority w:val="30"/>
    <w:qFormat/>
    <w:rsid w:val="00CD17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CD1744"/>
    <w:rPr>
      <w:i/>
      <w:iCs/>
      <w:color w:val="2F5496" w:themeColor="accent1" w:themeShade="BF"/>
    </w:rPr>
  </w:style>
  <w:style w:type="character" w:styleId="GlBavuru">
    <w:name w:val="Intense Reference"/>
    <w:basedOn w:val="VarsaylanParagrafYazTipi"/>
    <w:uiPriority w:val="32"/>
    <w:qFormat/>
    <w:rsid w:val="00CD174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13</Pages>
  <Words>5373</Words>
  <Characters>30631</Characters>
  <Application>Microsoft Office Word</Application>
  <DocSecurity>0</DocSecurity>
  <Lines>255</Lines>
  <Paragraphs>71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Orhun Uz</dc:creator>
  <cp:keywords/>
  <dc:description/>
  <cp:lastModifiedBy>Orhun Uz</cp:lastModifiedBy>
  <cp:revision>32</cp:revision>
  <dcterms:created xsi:type="dcterms:W3CDTF">2026-06-13T08:41:00Z</dcterms:created>
  <dcterms:modified xsi:type="dcterms:W3CDTF">2026-06-20T09:17:00Z</dcterms:modified>
</cp:coreProperties>
</file>