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7FC5" w14:textId="08ACD1D7" w:rsidR="00CB7E70" w:rsidRDefault="00CB7E70" w:rsidP="00CB7E70">
      <w:pPr>
        <w:pStyle w:val="Balk1"/>
      </w:pPr>
      <w:r>
        <w:t>Cover Letter</w:t>
      </w:r>
    </w:p>
    <w:p w14:paraId="7D2DBCF3" w14:textId="77777777" w:rsidR="00CB7E70" w:rsidRDefault="00CB7E70" w:rsidP="00CB7E70"/>
    <w:p w14:paraId="20CE7217" w14:textId="2AFBA2F1" w:rsidR="00CB7E70" w:rsidRDefault="00CB7E70" w:rsidP="00CB7E70">
      <w:r>
        <w:t>Dear Editor,</w:t>
      </w:r>
    </w:p>
    <w:p w14:paraId="1F97363C" w14:textId="77777777" w:rsidR="00CB7E70" w:rsidRDefault="00CB7E70" w:rsidP="00CB7E70"/>
    <w:p w14:paraId="65E9F5AF" w14:textId="5B832E56" w:rsidR="00CB7E70" w:rsidRDefault="00CB7E70" w:rsidP="00CB7E70">
      <w:r>
        <w:t>We are pleased to submit the manuscript entitled "Data availability constraints and deep learning-based inverse prediction of bio-oil composition from steam reforming syngas" for consideration as a Research Article in Bioresource Technology.</w:t>
      </w:r>
    </w:p>
    <w:p w14:paraId="4E12F445" w14:textId="77777777" w:rsidR="00CB7E70" w:rsidRDefault="00CB7E70" w:rsidP="00CB7E70"/>
    <w:p w14:paraId="3B31B4E9" w14:textId="0953DC0B" w:rsidR="00CB7E70" w:rsidRDefault="00CB7E70" w:rsidP="00CB7E70">
      <w:r>
        <w:t>This manuscript addresses a practical barrier in biomass pyrolysis valorization: bio-oil composition is essential for downstream conversion and hydrogen-oriented reforming, but detailed composition data are slow to obtain and inconsistently reported in reusable form. We combine a SQL-curated audit of literature-derived bio-oil composition records with thermodynamically validated Cantera steam reforming simulations and inverse machine learning.</w:t>
      </w:r>
    </w:p>
    <w:p w14:paraId="711F8101" w14:textId="77777777" w:rsidR="00CB7E70" w:rsidRDefault="00CB7E70" w:rsidP="00CB7E70"/>
    <w:p w14:paraId="356FA475" w14:textId="05BB7E5D" w:rsidR="00CB7E70" w:rsidRDefault="00CB7E70" w:rsidP="00CB7E70">
      <w:r>
        <w:t>The work is aligned with Bioresource Technology because it focuses on bioresource conversion, thermochemical processing, bio-oil utilization, biofuel-related modeling, and systems analysis. The manuscript contributes three main findings. First, a SQL audit of 70 class-level bio-oil records shows that no record contains all ten composition classes and only 30 records contain the six groups required for robust inverse modeling. Second, a Cantera reformer workflow generated 3,150 thermodynamic cases and 1,350 model-ready samples after target-completeness filtering. Third, a multilayer perceptron predicted six bio-oil composition classes from syngas and process conditions with row-wise average R2 = 0.863 and MAE = 4.03%, while BiooilID-based holdout analysis identified limits for unseen bio-oil generalization.</w:t>
      </w:r>
    </w:p>
    <w:p w14:paraId="57AA9012" w14:textId="77777777" w:rsidR="00CB7E70" w:rsidRDefault="00CB7E70" w:rsidP="00CB7E70"/>
    <w:p w14:paraId="6F48AC78" w14:textId="6777D8EC" w:rsidR="00CB7E70" w:rsidRDefault="00CB7E70" w:rsidP="00CB7E70">
      <w:r>
        <w:t>The manuscript is submitted as an original research article rather than a conventional review. The data-availability analysis provides the motivation and boundary conditions for the modeling contribution. We believe this combined framing will be of interest to readers working on biomass pyrolysis, bio-oil reforming, hydrogen production, data-driven process monitoring, and reusable bioresource datasets.</w:t>
      </w:r>
    </w:p>
    <w:p w14:paraId="08CDCD9D" w14:textId="77777777" w:rsidR="00CB7E70" w:rsidRDefault="00CB7E70" w:rsidP="00CB7E70"/>
    <w:p w14:paraId="256FB348" w14:textId="493D8BD3" w:rsidR="00CB7E70" w:rsidRDefault="00CB7E70" w:rsidP="00CB7E70">
      <w:r>
        <w:t>This manuscript has not been published previously and is not under consideration elsewhere. All authors have approved the submission. The authors declare no competing financial interests or personal relationships that could have influenced the work.</w:t>
      </w:r>
    </w:p>
    <w:p w14:paraId="3B52FF93" w14:textId="77777777" w:rsidR="00CB7E70" w:rsidRDefault="00CB7E70" w:rsidP="00CB7E70"/>
    <w:p w14:paraId="3D7B8861" w14:textId="472BCE13" w:rsidR="00CB7E70" w:rsidRDefault="00CB7E70" w:rsidP="00CB7E70">
      <w:r>
        <w:t>Sincerely,</w:t>
      </w:r>
    </w:p>
    <w:p w14:paraId="2F114F34" w14:textId="77777777" w:rsidR="00CB7E70" w:rsidRDefault="00CB7E70" w:rsidP="00CB7E70"/>
    <w:p w14:paraId="2F6EACA8" w14:textId="43E284AB" w:rsidR="00CB7E70" w:rsidRDefault="00CB7E70" w:rsidP="00CB7E70">
      <w:r>
        <w:t>[Corresponding author name]</w:t>
      </w:r>
    </w:p>
    <w:p w14:paraId="3346DE57" w14:textId="77777777" w:rsidR="00CB7E70" w:rsidRDefault="00CB7E70" w:rsidP="00CB7E70"/>
    <w:p w14:paraId="015D109E" w14:textId="6A532735" w:rsidR="00CB7E70" w:rsidRDefault="00CB7E70" w:rsidP="00CB7E70">
      <w:r>
        <w:t>[Affiliation]</w:t>
      </w:r>
    </w:p>
    <w:p w14:paraId="01DFFC52" w14:textId="77777777" w:rsidR="00CB7E70" w:rsidRDefault="00CB7E70" w:rsidP="00CB7E70"/>
    <w:p w14:paraId="03F21840" w14:textId="79990376" w:rsidR="00CB7E70" w:rsidRDefault="00CB7E70" w:rsidP="00CB7E70">
      <w:r>
        <w:t>[Email]</w:t>
      </w:r>
    </w:p>
    <w:p w14:paraId="31B858AB" w14:textId="77777777" w:rsidR="00CB7E70" w:rsidRDefault="00CB7E70" w:rsidP="00CB7E70"/>
    <w:p w14:paraId="781EC450" w14:textId="77777777" w:rsidR="00CB7E70" w:rsidRPr="00CB7E70" w:rsidRDefault="00CB7E70" w:rsidP="00CB7E70"/>
    <w:sectPr w:rsidR="00CB7E70" w:rsidRPr="00CB7E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70"/>
    <w:rsid w:val="006D3136"/>
    <w:rsid w:val="00CB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1CE9"/>
  <w15:chartTrackingRefBased/>
  <w15:docId w15:val="{C0F887AD-D106-4CA3-BAF4-88C6599B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B7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B7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B7E7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B7E7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B7E7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B7E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B7E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B7E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B7E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B7E7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B7E7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B7E7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B7E7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B7E7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B7E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B7E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B7E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B7E70"/>
    <w:rPr>
      <w:rFonts w:eastAsiaTheme="majorEastAsia" w:cstheme="majorBidi"/>
      <w:color w:val="272727" w:themeColor="text1" w:themeTint="D8"/>
    </w:rPr>
  </w:style>
  <w:style w:type="paragraph" w:styleId="KonuBal">
    <w:name w:val="Title"/>
    <w:basedOn w:val="Normal"/>
    <w:next w:val="Normal"/>
    <w:link w:val="KonuBalChar"/>
    <w:uiPriority w:val="10"/>
    <w:qFormat/>
    <w:rsid w:val="00CB7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B7E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B7E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B7E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B7E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B7E70"/>
    <w:rPr>
      <w:i/>
      <w:iCs/>
      <w:color w:val="404040" w:themeColor="text1" w:themeTint="BF"/>
    </w:rPr>
  </w:style>
  <w:style w:type="paragraph" w:styleId="ListeParagraf">
    <w:name w:val="List Paragraph"/>
    <w:basedOn w:val="Normal"/>
    <w:uiPriority w:val="34"/>
    <w:qFormat/>
    <w:rsid w:val="00CB7E70"/>
    <w:pPr>
      <w:ind w:left="720"/>
      <w:contextualSpacing/>
    </w:pPr>
  </w:style>
  <w:style w:type="character" w:styleId="GlVurgulama">
    <w:name w:val="Intense Emphasis"/>
    <w:basedOn w:val="VarsaylanParagrafYazTipi"/>
    <w:uiPriority w:val="21"/>
    <w:qFormat/>
    <w:rsid w:val="00CB7E70"/>
    <w:rPr>
      <w:i/>
      <w:iCs/>
      <w:color w:val="2F5496" w:themeColor="accent1" w:themeShade="BF"/>
    </w:rPr>
  </w:style>
  <w:style w:type="paragraph" w:styleId="GlAlnt">
    <w:name w:val="Intense Quote"/>
    <w:basedOn w:val="Normal"/>
    <w:next w:val="Normal"/>
    <w:link w:val="GlAlntChar"/>
    <w:uiPriority w:val="30"/>
    <w:qFormat/>
    <w:rsid w:val="00CB7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B7E70"/>
    <w:rPr>
      <w:i/>
      <w:iCs/>
      <w:color w:val="2F5496" w:themeColor="accent1" w:themeShade="BF"/>
    </w:rPr>
  </w:style>
  <w:style w:type="character" w:styleId="GlBavuru">
    <w:name w:val="Intense Reference"/>
    <w:basedOn w:val="VarsaylanParagrafYazTipi"/>
    <w:uiPriority w:val="32"/>
    <w:qFormat/>
    <w:rsid w:val="00CB7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2026-05-31T20:10:00Z</dcterms:created>
  <dcterms:modified xsi:type="dcterms:W3CDTF">2026-05-31T20:10:00Z</dcterms:modified>
</cp:coreProperties>
</file>