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2D45" w14:textId="03430041" w:rsidR="001A031B" w:rsidRDefault="001A031B" w:rsidP="001A031B">
      <w:pPr>
        <w:pStyle w:val="Balk1"/>
      </w:pPr>
      <w:r>
        <w:t>Figure and Table Plan</w:t>
      </w:r>
    </w:p>
    <w:p w14:paraId="4F6CDBF3" w14:textId="77777777" w:rsidR="001A031B" w:rsidRDefault="001A031B" w:rsidP="001A031B"/>
    <w:p w14:paraId="6BA8F265" w14:textId="4B68010E" w:rsidR="001A031B" w:rsidRDefault="001A031B" w:rsidP="001A031B">
      <w:r>
        <w:t>Bioresource Technology allows a maximum of 6 figures and/or tables unless justified. Use this compact set.</w:t>
      </w:r>
    </w:p>
    <w:p w14:paraId="647442D2" w14:textId="77777777" w:rsidR="001A031B" w:rsidRDefault="001A031B" w:rsidP="001A031B"/>
    <w:p w14:paraId="009E5C8F" w14:textId="56519D29" w:rsidR="001A031B" w:rsidRDefault="001A031B" w:rsidP="001A031B">
      <w:pPr>
        <w:pStyle w:val="Balk2"/>
      </w:pPr>
      <w:r>
        <w:t>Figures</w:t>
      </w:r>
    </w:p>
    <w:p w14:paraId="6C5BF8F5" w14:textId="77777777" w:rsidR="001A031B" w:rsidRDefault="001A031B" w:rsidP="001A031B"/>
    <w:p w14:paraId="5CF59485" w14:textId="544FA029" w:rsidR="001A031B" w:rsidRDefault="001A031B" w:rsidP="001A031B">
      <w:r>
        <w:t>Figure 1. Integrated workflow from literature-derived bio-oil composition records to SQL curation, Cantera reforming simulations, inverse machine learning, and soft-sensor interpretation.</w:t>
      </w:r>
    </w:p>
    <w:p w14:paraId="200B9117" w14:textId="77777777" w:rsidR="001A031B" w:rsidRDefault="001A031B" w:rsidP="001A031B"/>
    <w:p w14:paraId="396A72E0" w14:textId="43C5DE35" w:rsidR="001A031B" w:rsidRDefault="001A031B" w:rsidP="001A031B">
      <w:r>
        <w:t>Suggested source: redraw from `tik5/figures/tik5_figure_b03_soft_sensor_workflow.png` and TIK4 workflow notes.</w:t>
      </w:r>
    </w:p>
    <w:p w14:paraId="729D32EF" w14:textId="77777777" w:rsidR="001A031B" w:rsidRDefault="001A031B" w:rsidP="001A031B"/>
    <w:p w14:paraId="136575E2" w14:textId="366819B2" w:rsidR="001A031B" w:rsidRDefault="001A031B" w:rsidP="001A031B">
      <w:r>
        <w:t>Figure 2. SQL composition-data completeness map showing missingness across the 70 `Biooil` records and major compound classes.</w:t>
      </w:r>
    </w:p>
    <w:p w14:paraId="0FCFB2B1" w14:textId="77777777" w:rsidR="001A031B" w:rsidRDefault="001A031B" w:rsidP="001A031B"/>
    <w:p w14:paraId="5CF4F194" w14:textId="3BE4AC22" w:rsidR="001A031B" w:rsidRDefault="001A031B" w:rsidP="001A031B">
      <w:r>
        <w:t>Suggested source: regenerate from SQL audit values.</w:t>
      </w:r>
    </w:p>
    <w:p w14:paraId="47068B3E" w14:textId="77777777" w:rsidR="001A031B" w:rsidRDefault="001A031B" w:rsidP="001A031B"/>
    <w:p w14:paraId="07E4281C" w14:textId="56E36D1F" w:rsidR="001A031B" w:rsidRDefault="001A031B" w:rsidP="001A031B">
      <w:r>
        <w:t>Figure 3. Cantera reformer simulation design showing six surrogate bio-oil groups, process-condition grid, and syngas outputs.</w:t>
      </w:r>
    </w:p>
    <w:p w14:paraId="7F464CF9" w14:textId="77777777" w:rsidR="001A031B" w:rsidRDefault="001A031B" w:rsidP="001A031B"/>
    <w:p w14:paraId="7A7E7974" w14:textId="61063EFD" w:rsidR="001A031B" w:rsidRDefault="001A031B" w:rsidP="001A031B">
      <w:r>
        <w:t>Suggested source: redraw from TIK4 Cantera section and `TIK_RAPOR_REFORMER_MODEL.md`.</w:t>
      </w:r>
    </w:p>
    <w:p w14:paraId="15946A3F" w14:textId="77777777" w:rsidR="001A031B" w:rsidRDefault="001A031B" w:rsidP="001A031B"/>
    <w:p w14:paraId="570D3B06" w14:textId="319E2F9F" w:rsidR="001A031B" w:rsidRDefault="001A031B" w:rsidP="001A031B">
      <w:r>
        <w:t>Figure 4. Model comparison for inverse prediction of six bio-oil composition groups.</w:t>
      </w:r>
    </w:p>
    <w:p w14:paraId="33AC77ED" w14:textId="77777777" w:rsidR="001A031B" w:rsidRDefault="001A031B" w:rsidP="001A031B"/>
    <w:p w14:paraId="578A6FBB" w14:textId="74ED3FF5" w:rsidR="001A031B" w:rsidRDefault="001A031B" w:rsidP="001A031B">
      <w:r>
        <w:t>Suggested source: `reverse_ml_biooil_to_product/ml_reverse_prediction/output/figures/model_comparison_r2.png`</w:t>
      </w:r>
    </w:p>
    <w:p w14:paraId="52B0653E" w14:textId="77777777" w:rsidR="001A031B" w:rsidRDefault="001A031B" w:rsidP="001A031B"/>
    <w:p w14:paraId="3C495112" w14:textId="63B7FE3F" w:rsidR="001A031B" w:rsidRDefault="001A031B" w:rsidP="001A031B">
      <w:r>
        <w:t>Figure 5. Feature-importance interpretation showing syngas composition as the dominant signal.</w:t>
      </w:r>
    </w:p>
    <w:p w14:paraId="68A3D9ED" w14:textId="77777777" w:rsidR="001A031B" w:rsidRDefault="001A031B" w:rsidP="001A031B"/>
    <w:p w14:paraId="32539CE0" w14:textId="4CB60CB9" w:rsidR="001A031B" w:rsidRDefault="001A031B" w:rsidP="001A031B">
      <w:r>
        <w:t>Suggested source: `reverse_ml_biooil_to_product/ml_reverse_prediction/output/figures/feature_importance.png`</w:t>
      </w:r>
    </w:p>
    <w:p w14:paraId="1677795E" w14:textId="77777777" w:rsidR="001A031B" w:rsidRDefault="001A031B" w:rsidP="001A031B"/>
    <w:p w14:paraId="0EC17BD1" w14:textId="2FB7A9EA" w:rsidR="001A031B" w:rsidRDefault="001A031B" w:rsidP="001A031B">
      <w:r>
        <w:t>Figure 6. Row-wise model performance versus BiooilID holdout behavior.</w:t>
      </w:r>
    </w:p>
    <w:p w14:paraId="3C519033" w14:textId="77777777" w:rsidR="001A031B" w:rsidRDefault="001A031B" w:rsidP="001A031B"/>
    <w:p w14:paraId="01905738" w14:textId="196EB8AB" w:rsidR="001A031B" w:rsidRDefault="001A031B" w:rsidP="001A031B">
      <w:r>
        <w:t>Suggested source: combine `tik5/figures/tik5_figure_b05_split_comparison.png` and `tik5/figures/tik5_figure_b06_biooilid_r2.png`.</w:t>
      </w:r>
    </w:p>
    <w:p w14:paraId="25E64CBB" w14:textId="77777777" w:rsidR="001A031B" w:rsidRDefault="001A031B" w:rsidP="001A031B"/>
    <w:p w14:paraId="05225715" w14:textId="11736832" w:rsidR="001A031B" w:rsidRDefault="001A031B" w:rsidP="001A031B">
      <w:pPr>
        <w:pStyle w:val="Balk2"/>
      </w:pPr>
      <w:r>
        <w:t>Tables</w:t>
      </w:r>
    </w:p>
    <w:p w14:paraId="6F9BE074" w14:textId="77777777" w:rsidR="001A031B" w:rsidRDefault="001A031B" w:rsidP="001A031B"/>
    <w:p w14:paraId="4E473225" w14:textId="1C5B97C0" w:rsidR="001A031B" w:rsidRDefault="001A031B" w:rsidP="001A031B">
      <w:r>
        <w:t>If the 6 item limit is strict, move these tables to supplementary material.</w:t>
      </w:r>
    </w:p>
    <w:p w14:paraId="2E4CF20D" w14:textId="77777777" w:rsidR="001A031B" w:rsidRDefault="001A031B" w:rsidP="001A031B"/>
    <w:p w14:paraId="57B95CAD" w14:textId="7D253F32" w:rsidR="001A031B" w:rsidRDefault="001A031B" w:rsidP="001A031B">
      <w:r>
        <w:t>Table S1. SQL database table counts and data sources.</w:t>
      </w:r>
    </w:p>
    <w:p w14:paraId="3FB45CE1" w14:textId="77777777" w:rsidR="001A031B" w:rsidRDefault="001A031B" w:rsidP="001A031B"/>
    <w:p w14:paraId="324A68E6" w14:textId="6BA71785" w:rsidR="001A031B" w:rsidRDefault="001A031B" w:rsidP="001A031B">
      <w:r>
        <w:t>Table S2. Bio-oil composition missingness by class.</w:t>
      </w:r>
    </w:p>
    <w:p w14:paraId="6041B6FB" w14:textId="77777777" w:rsidR="001A031B" w:rsidRDefault="001A031B" w:rsidP="001A031B"/>
    <w:p w14:paraId="5EA90ED2" w14:textId="16AA6B0E" w:rsidR="001A031B" w:rsidRDefault="001A031B" w:rsidP="001A031B">
      <w:r>
        <w:t>Table S3. ML model performance by component.</w:t>
      </w:r>
    </w:p>
    <w:p w14:paraId="12D9CD86" w14:textId="77777777" w:rsidR="001A031B" w:rsidRDefault="001A031B" w:rsidP="001A031B"/>
    <w:p w14:paraId="60796807" w14:textId="2C98C8E8" w:rsidR="001A031B" w:rsidRDefault="001A031B" w:rsidP="001A031B">
      <w:r>
        <w:t>Table S4. BiooilID holdout performance by component.</w:t>
      </w:r>
    </w:p>
    <w:p w14:paraId="14F03F1E" w14:textId="77777777" w:rsidR="001A031B" w:rsidRDefault="001A031B" w:rsidP="001A031B"/>
    <w:p w14:paraId="4ED0CB33" w14:textId="77777777" w:rsidR="001A031B" w:rsidRPr="001A031B" w:rsidRDefault="001A031B" w:rsidP="001A031B"/>
    <w:sectPr w:rsidR="001A031B" w:rsidRPr="001A0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1B"/>
    <w:rsid w:val="001A031B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46568"/>
  <w15:chartTrackingRefBased/>
  <w15:docId w15:val="{27AB92A2-369A-4401-BC49-4CAADE74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A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0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0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0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A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0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031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031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03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03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03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03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03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03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031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0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031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0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