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8242A" w14:textId="69490C9D" w:rsidR="008020C3" w:rsidRDefault="008020C3" w:rsidP="008020C3">
      <w:pPr>
        <w:pStyle w:val="Balk1"/>
      </w:pPr>
      <w:r>
        <w:t>Highlights</w:t>
      </w:r>
    </w:p>
    <w:p w14:paraId="6AC76471" w14:textId="77777777" w:rsidR="008020C3" w:rsidRDefault="008020C3" w:rsidP="008020C3"/>
    <w:p w14:paraId="091A9CAE" w14:textId="3C8F7856" w:rsidR="008020C3" w:rsidRDefault="008020C3" w:rsidP="008020C3">
      <w:pPr>
        <w:pStyle w:val="ListeParagraf"/>
        <w:numPr>
          <w:ilvl w:val="0"/>
          <w:numId w:val="1"/>
        </w:numPr>
      </w:pPr>
      <w:r>
        <w:t>A soft sensor predicts bio-oil classes from reformer syngas.</w:t>
      </w:r>
    </w:p>
    <w:p w14:paraId="461C53A5" w14:textId="47F59EDB" w:rsidR="008020C3" w:rsidRDefault="008020C3" w:rsidP="008020C3">
      <w:pPr>
        <w:pStyle w:val="ListeParagraf"/>
        <w:numPr>
          <w:ilvl w:val="0"/>
          <w:numId w:val="1"/>
        </w:numPr>
      </w:pPr>
      <w:r>
        <w:t>Cantera generated thermodynamic cases for bio-oil reforming.</w:t>
      </w:r>
    </w:p>
    <w:p w14:paraId="774FA1D9" w14:textId="240E8AB9" w:rsidR="008020C3" w:rsidRDefault="008020C3" w:rsidP="008020C3">
      <w:pPr>
        <w:pStyle w:val="ListeParagraf"/>
        <w:numPr>
          <w:ilvl w:val="0"/>
          <w:numId w:val="1"/>
        </w:numPr>
      </w:pPr>
      <w:r>
        <w:t>The MLP reached row-wise R2 = 0.863 and MAE = 4.03%.</w:t>
      </w:r>
    </w:p>
    <w:p w14:paraId="7D245EF9" w14:textId="43EEE049" w:rsidR="008020C3" w:rsidRDefault="008020C3" w:rsidP="008020C3">
      <w:pPr>
        <w:pStyle w:val="ListeParagraf"/>
        <w:numPr>
          <w:ilvl w:val="0"/>
          <w:numId w:val="1"/>
        </w:numPr>
      </w:pPr>
      <w:r>
        <w:t>BiooilID holdout showed component-dependent transfer limits.</w:t>
      </w:r>
    </w:p>
    <w:p w14:paraId="4C302286" w14:textId="5EB12E8D" w:rsidR="008020C3" w:rsidRDefault="008020C3" w:rsidP="008020C3">
      <w:pPr>
        <w:pStyle w:val="ListeParagraf"/>
        <w:numPr>
          <w:ilvl w:val="0"/>
          <w:numId w:val="1"/>
        </w:numPr>
      </w:pPr>
      <w:r>
        <w:t>The workflow supports fuel-processing monitoring decisions.</w:t>
      </w:r>
    </w:p>
    <w:p w14:paraId="0017D24F" w14:textId="77777777" w:rsidR="008020C3" w:rsidRDefault="008020C3" w:rsidP="008020C3"/>
    <w:p w14:paraId="545EF57A" w14:textId="77777777" w:rsidR="008020C3" w:rsidRPr="008020C3" w:rsidRDefault="008020C3" w:rsidP="008020C3"/>
    <w:sectPr w:rsidR="008020C3" w:rsidRPr="008020C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6037D3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559784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0C3"/>
    <w:rsid w:val="006D3136"/>
    <w:rsid w:val="00802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247CA"/>
  <w15:chartTrackingRefBased/>
  <w15:docId w15:val="{21B6BADA-ED2C-4794-9BCD-E27716530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8020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8020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8020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8020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8020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8020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8020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8020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8020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8020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8020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8020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8020C3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8020C3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8020C3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8020C3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8020C3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8020C3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8020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802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8020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8020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8020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8020C3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8020C3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8020C3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8020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8020C3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8020C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264</Characters>
  <Application>Microsoft Office Word</Application>
  <DocSecurity>0</DocSecurity>
  <Lines>2</Lines>
  <Paragraphs>1</Paragraphs>
  <ScaleCrop>false</ScaleCrop>
  <Company/>
  <LinksUpToDate>false</LinksUpToDate>
  <CharactersWithSpaces>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2026-05-31T20:10:00Z</dcterms:created>
  <dcterms:modified xsi:type="dcterms:W3CDTF">2026-05-31T20:10:00Z</dcterms:modified>
</cp:coreProperties>
</file>