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5F9F3" w14:textId="57DDCFE5" w:rsidR="00F85291" w:rsidRDefault="00F85291" w:rsidP="00F85291">
      <w:pPr>
        <w:pStyle w:val="Balk1"/>
      </w:pPr>
      <w:r>
        <w:t>Final Upload Blockers</w:t>
      </w:r>
    </w:p>
    <w:p w14:paraId="2D67753E" w14:textId="77777777" w:rsidR="00F85291" w:rsidRDefault="00F85291" w:rsidP="00F85291"/>
    <w:p w14:paraId="09E0E316" w14:textId="13748528" w:rsidR="00F85291" w:rsidRDefault="00F85291" w:rsidP="00F85291">
      <w:r>
        <w:t>The technical submission packages have been prepared for the three target journals. The following items still require author-side decisions before actual upload.</w:t>
      </w:r>
    </w:p>
    <w:p w14:paraId="412D3BAA" w14:textId="77777777" w:rsidR="00F85291" w:rsidRDefault="00F85291" w:rsidP="00F85291"/>
    <w:p w14:paraId="3C3B12DC" w14:textId="414F65A7" w:rsidR="00F85291" w:rsidRDefault="00F85291" w:rsidP="00F85291">
      <w:pPr>
        <w:pStyle w:val="Balk2"/>
      </w:pPr>
      <w:r>
        <w:t>Blocking items for all journals</w:t>
      </w:r>
    </w:p>
    <w:p w14:paraId="55AE298C" w14:textId="77777777" w:rsidR="00F85291" w:rsidRDefault="00F85291" w:rsidP="00F85291"/>
    <w:p w14:paraId="6CD8BA9A" w14:textId="517B9C2E" w:rsidR="00F85291" w:rsidRDefault="00F85291" w:rsidP="00F85291">
      <w:r>
        <w:t>1. Confirm final author list and author order.</w:t>
      </w:r>
    </w:p>
    <w:p w14:paraId="035ECAFF" w14:textId="669E5327" w:rsidR="00F85291" w:rsidRDefault="00F85291" w:rsidP="00F85291">
      <w:r>
        <w:t>2. Confirm corresponding author email, postal address, and phone.</w:t>
      </w:r>
    </w:p>
    <w:p w14:paraId="1ECD9A5E" w14:textId="50A7D33A" w:rsidR="00F85291" w:rsidRDefault="00F85291" w:rsidP="00F85291">
      <w:r>
        <w:t>3. Confirm funding statement.</w:t>
      </w:r>
    </w:p>
    <w:p w14:paraId="4C10490F" w14:textId="27CF9599" w:rsidR="00F85291" w:rsidRDefault="00F85291" w:rsidP="00F85291">
      <w:r>
        <w:t>4. Replace bracketed placeholders in title pages, cover letters, and declaration files.</w:t>
      </w:r>
    </w:p>
    <w:p w14:paraId="73027BA8" w14:textId="414ECB86" w:rsidR="00F85291" w:rsidRDefault="00F85291" w:rsidP="00F85291">
      <w:r>
        <w:t>5. Create a data repository record and insert DOI/URL in the manuscript and data statement.</w:t>
      </w:r>
    </w:p>
    <w:p w14:paraId="42C5865E" w14:textId="2EC08B8E" w:rsidR="00F85291" w:rsidRDefault="00F85291" w:rsidP="00F85291">
      <w:r>
        <w:t>6. Finalize reference list from a verified reference manager or SQL reference table.</w:t>
      </w:r>
    </w:p>
    <w:p w14:paraId="18CDA06B" w14:textId="238FE7AA" w:rsidR="00F85291" w:rsidRDefault="00F85291" w:rsidP="00F85291">
      <w:r>
        <w:t>7. Decide whether secondary-source SQL rows are included, excluded, or used only in sensitivity analysis.</w:t>
      </w:r>
    </w:p>
    <w:p w14:paraId="2665B93F" w14:textId="27805FF5" w:rsidR="00F85291" w:rsidRDefault="00F85291" w:rsidP="00F85291">
      <w:r>
        <w:t>8. Run a final spelling/grammar check in Word.</w:t>
      </w:r>
    </w:p>
    <w:p w14:paraId="012BC647" w14:textId="77777777" w:rsidR="00F85291" w:rsidRDefault="00F85291" w:rsidP="00F85291"/>
    <w:p w14:paraId="5D7BCE17" w14:textId="719E3AAD" w:rsidR="00F85291" w:rsidRDefault="00F85291" w:rsidP="00F85291">
      <w:pPr>
        <w:pStyle w:val="Balk2"/>
      </w:pPr>
      <w:r>
        <w:t>Bioresource Technology-specific blocker</w:t>
      </w:r>
    </w:p>
    <w:p w14:paraId="07EAB007" w14:textId="77777777" w:rsidR="00F85291" w:rsidRDefault="00F85291" w:rsidP="00F85291"/>
    <w:p w14:paraId="449B232B" w14:textId="541E8110" w:rsidR="00F85291" w:rsidRDefault="00F85291" w:rsidP="00F85291">
      <w:r>
        <w:t>Bioresource Technology requires a graphical abstract. Elsevier policy states that generative AI or AI-assisted tools must not be used to create or alter submitted figures or graphical abstracts. Therefore, only a manual graphical abstract brief was prepared. The final image must be manually redrawn from project data before upload.</w:t>
      </w:r>
    </w:p>
    <w:p w14:paraId="023A2FDB" w14:textId="77777777" w:rsidR="00F85291" w:rsidRDefault="00F85291" w:rsidP="00F85291"/>
    <w:p w14:paraId="7F1F60D1" w14:textId="71D21B30" w:rsidR="00F85291" w:rsidRDefault="00F85291" w:rsidP="00F85291">
      <w:pPr>
        <w:pStyle w:val="Balk2"/>
      </w:pPr>
      <w:r>
        <w:t>Scientific blocker to consider before first submission</w:t>
      </w:r>
    </w:p>
    <w:p w14:paraId="108DB201" w14:textId="77777777" w:rsidR="00F85291" w:rsidRDefault="00F85291" w:rsidP="00F85291"/>
    <w:p w14:paraId="3EFB14D3" w14:textId="415AAEA1" w:rsidR="00F85291" w:rsidRDefault="00F85291" w:rsidP="00F85291">
      <w:r>
        <w:t>The row-wise MLP result is strong (R2 = 0.863), but a stricter BiooilID holdout audit shows uneven transfer to unseen bio-oils. Before submission, the strongest improvement would be:</w:t>
      </w:r>
    </w:p>
    <w:p w14:paraId="0A5B0C09" w14:textId="77777777" w:rsidR="00F85291" w:rsidRDefault="00F85291" w:rsidP="00F85291"/>
    <w:p w14:paraId="51C3404D" w14:textId="79353AC8" w:rsidR="00F85291" w:rsidRDefault="00F85291" w:rsidP="00F85291">
      <w:pPr>
        <w:pStyle w:val="ListeParagraf"/>
        <w:numPr>
          <w:ilvl w:val="0"/>
          <w:numId w:val="1"/>
        </w:numPr>
      </w:pPr>
      <w:r>
        <w:t>rerun the final MLP with BiooilID/group-based splitting, or</w:t>
      </w:r>
    </w:p>
    <w:p w14:paraId="1898073A" w14:textId="01A606BE" w:rsidR="00F85291" w:rsidRDefault="00F85291" w:rsidP="00F85291">
      <w:pPr>
        <w:pStyle w:val="ListeParagraf"/>
        <w:numPr>
          <w:ilvl w:val="0"/>
          <w:numId w:val="1"/>
        </w:numPr>
      </w:pPr>
      <w:r>
        <w:t>keep the current row-wise MLP as interpolation performance and explicitly present BiooilID holdout as a generalization-limit audit.</w:t>
      </w:r>
    </w:p>
    <w:p w14:paraId="6FA7782D" w14:textId="77777777" w:rsidR="00F85291" w:rsidRDefault="00F85291" w:rsidP="00F85291"/>
    <w:p w14:paraId="751ADD34" w14:textId="22A502F0" w:rsidR="00F85291" w:rsidRDefault="00F85291" w:rsidP="00F85291">
      <w:r>
        <w:t>The current manuscript package follows the second, more conservative strategy.</w:t>
      </w:r>
    </w:p>
    <w:p w14:paraId="3A38127F" w14:textId="77777777" w:rsidR="00F85291" w:rsidRDefault="00F85291" w:rsidP="00F85291"/>
    <w:p w14:paraId="3BE75733" w14:textId="77777777" w:rsidR="00F85291" w:rsidRPr="00F85291" w:rsidRDefault="00F85291" w:rsidP="00F85291"/>
    <w:sectPr w:rsidR="00F85291" w:rsidRPr="00F8529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3745D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1250306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291"/>
    <w:rsid w:val="006D3136"/>
    <w:rsid w:val="00F85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97712F"/>
  <w15:chartTrackingRefBased/>
  <w15:docId w15:val="{8B54839F-D515-4EFA-8F56-963E8F497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F852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852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852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852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852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852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852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852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852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852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F852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852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85291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85291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85291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85291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85291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85291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852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852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852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852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852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85291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85291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85291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852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85291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852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249</Words>
  <Characters>1421</Characters>
  <Application>Microsoft Office Word</Application>
  <DocSecurity>0</DocSecurity>
  <Lines>11</Lines>
  <Paragraphs>3</Paragraphs>
  <ScaleCrop>false</ScaleCrop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Orhun Uz</dc:creator>
  <cp:keywords/>
  <dc:description/>
  <cp:lastModifiedBy>Orhun Uz</cp:lastModifiedBy>
  <cp:revision>1</cp:revision>
  <dcterms:created xsi:type="dcterms:W3CDTF">2026-05-31T20:10:00Z</dcterms:created>
  <dcterms:modified xsi:type="dcterms:W3CDTF">2026-05-31T20:10:00Z</dcterms:modified>
</cp:coreProperties>
</file>