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43CAE" w14:textId="656F5B91" w:rsidR="00B5650F" w:rsidRDefault="00B5650F" w:rsidP="00B5650F">
      <w:pPr>
        <w:pStyle w:val="Balk1"/>
      </w:pPr>
      <w:r>
        <w:t>Figure and Table Plan</w:t>
      </w:r>
    </w:p>
    <w:p w14:paraId="5BFA65F2" w14:textId="77777777" w:rsidR="00B5650F" w:rsidRDefault="00B5650F" w:rsidP="00B5650F"/>
    <w:p w14:paraId="3892F018" w14:textId="7811893B" w:rsidR="00B5650F" w:rsidRDefault="00B5650F" w:rsidP="00B5650F">
      <w:pPr>
        <w:pStyle w:val="Balk2"/>
      </w:pPr>
      <w:r>
        <w:t>Figures</w:t>
      </w:r>
    </w:p>
    <w:p w14:paraId="1B69F31C" w14:textId="77777777" w:rsidR="00B5650F" w:rsidRDefault="00B5650F" w:rsidP="00B5650F"/>
    <w:p w14:paraId="002533BA" w14:textId="2E3E2104" w:rsidR="00B5650F" w:rsidRDefault="00B5650F" w:rsidP="00B5650F">
      <w:r>
        <w:t>Figure 1. Data-constrained AI workflow for inverse prediction of bio-oil composition from reformer syngas.</w:t>
      </w:r>
    </w:p>
    <w:p w14:paraId="385A6284" w14:textId="77777777" w:rsidR="00B5650F" w:rsidRDefault="00B5650F" w:rsidP="00B5650F"/>
    <w:p w14:paraId="62400ED1" w14:textId="4E855758" w:rsidR="00B5650F" w:rsidRDefault="00B5650F" w:rsidP="00B5650F">
      <w:r>
        <w:t>Figure 2. SQL-derived missingness profile for literature-curated bio-oil composition records.</w:t>
      </w:r>
    </w:p>
    <w:p w14:paraId="52760446" w14:textId="77777777" w:rsidR="00B5650F" w:rsidRDefault="00B5650F" w:rsidP="00B5650F"/>
    <w:p w14:paraId="480A05DB" w14:textId="438F7667" w:rsidR="00B5650F" w:rsidRDefault="00B5650F" w:rsidP="00B5650F">
      <w:r>
        <w:t>Figure 3. Multilayer perceptron architecture for the eight-input, six-output inverse prediction task.</w:t>
      </w:r>
    </w:p>
    <w:p w14:paraId="286D6FB5" w14:textId="77777777" w:rsidR="00B5650F" w:rsidRDefault="00B5650F" w:rsidP="00B5650F"/>
    <w:p w14:paraId="41057A53" w14:textId="0A3288D0" w:rsidR="00B5650F" w:rsidRDefault="00B5650F" w:rsidP="00B5650F">
      <w:r>
        <w:t>Figure 4. Model comparison showing row-wise R2, RMSE, and MAE values.</w:t>
      </w:r>
    </w:p>
    <w:p w14:paraId="46D3A94B" w14:textId="77777777" w:rsidR="00B5650F" w:rsidRDefault="00B5650F" w:rsidP="00B5650F"/>
    <w:p w14:paraId="7E517C99" w14:textId="1725FF1B" w:rsidR="00B5650F" w:rsidRDefault="00B5650F" w:rsidP="00B5650F">
      <w:r>
        <w:t>Figure 5. Component-wise predicted versus actual behavior for the best neural model.</w:t>
      </w:r>
    </w:p>
    <w:p w14:paraId="6B932EAB" w14:textId="77777777" w:rsidR="00B5650F" w:rsidRDefault="00B5650F" w:rsidP="00B5650F"/>
    <w:p w14:paraId="20A9767A" w14:textId="2032ED0E" w:rsidR="00B5650F" w:rsidRDefault="00B5650F" w:rsidP="00B5650F">
      <w:r>
        <w:t>Figure 6. Row-wise split versus BiooilID holdout validation outcomes.</w:t>
      </w:r>
    </w:p>
    <w:p w14:paraId="587177F2" w14:textId="77777777" w:rsidR="00B5650F" w:rsidRDefault="00B5650F" w:rsidP="00B5650F"/>
    <w:p w14:paraId="46716814" w14:textId="07B291D3" w:rsidR="00B5650F" w:rsidRDefault="00B5650F" w:rsidP="00B5650F">
      <w:pPr>
        <w:pStyle w:val="Balk2"/>
      </w:pPr>
      <w:r>
        <w:t>Tables</w:t>
      </w:r>
    </w:p>
    <w:p w14:paraId="1C0E9861" w14:textId="77777777" w:rsidR="00B5650F" w:rsidRDefault="00B5650F" w:rsidP="00B5650F"/>
    <w:p w14:paraId="38B01377" w14:textId="55E79E29" w:rsidR="00B5650F" w:rsidRDefault="00B5650F" w:rsidP="00B5650F">
      <w:r>
        <w:t>Table 1. Dataset construction from SQL composition records to 1,350 model-ready samples.</w:t>
      </w:r>
    </w:p>
    <w:p w14:paraId="19975733" w14:textId="77777777" w:rsidR="00B5650F" w:rsidRDefault="00B5650F" w:rsidP="00B5650F"/>
    <w:p w14:paraId="36E1ED3F" w14:textId="14575591" w:rsidR="00B5650F" w:rsidRDefault="00B5650F" w:rsidP="00B5650F">
      <w:r>
        <w:t>Table 2. Full model-comparison metrics.</w:t>
      </w:r>
    </w:p>
    <w:p w14:paraId="72DBFE93" w14:textId="77777777" w:rsidR="00B5650F" w:rsidRDefault="00B5650F" w:rsidP="00B5650F"/>
    <w:p w14:paraId="444D8EE2" w14:textId="6E6F5AD3" w:rsidR="00B5650F" w:rsidRDefault="00B5650F" w:rsidP="00B5650F">
      <w:r>
        <w:t>Table 3. BiooilID holdout performance and interpretation by component.</w:t>
      </w:r>
    </w:p>
    <w:p w14:paraId="2AE1D171" w14:textId="77777777" w:rsidR="00B5650F" w:rsidRDefault="00B5650F" w:rsidP="00B5650F"/>
    <w:p w14:paraId="30CC6EB4" w14:textId="77777777" w:rsidR="00B5650F" w:rsidRPr="00B5650F" w:rsidRDefault="00B5650F" w:rsidP="00B5650F"/>
    <w:sectPr w:rsidR="00B5650F" w:rsidRPr="00B565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0F"/>
    <w:rsid w:val="00875582"/>
    <w:rsid w:val="00B5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412BD"/>
  <w15:chartTrackingRefBased/>
  <w15:docId w15:val="{E2B418DC-8969-4D5E-98AE-7C2967D48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5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6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6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6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56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6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650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650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65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65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65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65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65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65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650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6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650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6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