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AA554" w14:textId="2F308835" w:rsidR="00742F9B" w:rsidRDefault="00742F9B" w:rsidP="00742F9B">
      <w:pPr>
        <w:pStyle w:val="Balk1"/>
      </w:pPr>
      <w:r>
        <w:t>Highlights</w:t>
      </w:r>
    </w:p>
    <w:p w14:paraId="60293E10" w14:textId="77777777" w:rsidR="00742F9B" w:rsidRDefault="00742F9B" w:rsidP="00742F9B"/>
    <w:p w14:paraId="6B284732" w14:textId="3AF024B3" w:rsidR="00742F9B" w:rsidRDefault="00742F9B" w:rsidP="00742F9B">
      <w:pPr>
        <w:pStyle w:val="ListeParagraf"/>
        <w:numPr>
          <w:ilvl w:val="0"/>
          <w:numId w:val="1"/>
        </w:numPr>
      </w:pPr>
      <w:r>
        <w:t>A soft sensor predicts bio-oil classes from reformer syngas.</w:t>
      </w:r>
    </w:p>
    <w:p w14:paraId="4B0A51BB" w14:textId="4A046654" w:rsidR="00742F9B" w:rsidRDefault="00742F9B" w:rsidP="00742F9B">
      <w:pPr>
        <w:pStyle w:val="ListeParagraf"/>
        <w:numPr>
          <w:ilvl w:val="0"/>
          <w:numId w:val="1"/>
        </w:numPr>
      </w:pPr>
      <w:r>
        <w:t>Cantera generated thermodynamic cases for bio-oil reforming.</w:t>
      </w:r>
    </w:p>
    <w:p w14:paraId="2F2D8C94" w14:textId="6C582066" w:rsidR="00742F9B" w:rsidRDefault="00742F9B" w:rsidP="00742F9B">
      <w:pPr>
        <w:pStyle w:val="ListeParagraf"/>
        <w:numPr>
          <w:ilvl w:val="0"/>
          <w:numId w:val="1"/>
        </w:numPr>
      </w:pPr>
      <w:r>
        <w:t>The MLP reached row-wise R2 = 0.863 and MAE = 4.03%.</w:t>
      </w:r>
    </w:p>
    <w:p w14:paraId="23C8AB8E" w14:textId="25C1CC8D" w:rsidR="00742F9B" w:rsidRDefault="00742F9B" w:rsidP="00742F9B">
      <w:pPr>
        <w:pStyle w:val="ListeParagraf"/>
        <w:numPr>
          <w:ilvl w:val="0"/>
          <w:numId w:val="1"/>
        </w:numPr>
      </w:pPr>
      <w:r>
        <w:t>BiooilID holdout showed component-dependent transfer limits.</w:t>
      </w:r>
    </w:p>
    <w:p w14:paraId="6C522ACC" w14:textId="4FE02604" w:rsidR="00742F9B" w:rsidRDefault="00742F9B" w:rsidP="00742F9B">
      <w:pPr>
        <w:pStyle w:val="ListeParagraf"/>
        <w:numPr>
          <w:ilvl w:val="0"/>
          <w:numId w:val="1"/>
        </w:numPr>
      </w:pPr>
      <w:r>
        <w:t>The workflow supports fuel-processing monitoring decisions.</w:t>
      </w:r>
    </w:p>
    <w:p w14:paraId="79B43BF3" w14:textId="77777777" w:rsidR="00742F9B" w:rsidRDefault="00742F9B" w:rsidP="00742F9B"/>
    <w:p w14:paraId="0BB23880" w14:textId="77777777" w:rsidR="00742F9B" w:rsidRPr="00742F9B" w:rsidRDefault="00742F9B" w:rsidP="00742F9B"/>
    <w:sectPr w:rsidR="00742F9B" w:rsidRPr="00742F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BD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5454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F9B"/>
    <w:rsid w:val="00742F9B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8603B"/>
  <w15:chartTrackingRefBased/>
  <w15:docId w15:val="{BFD7CE8A-B9B6-4225-8AA1-02BC7C9F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4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4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42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4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42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4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4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4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4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42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42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42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42F9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42F9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42F9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42F9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42F9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42F9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4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4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4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4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4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42F9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42F9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42F9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42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42F9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42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