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2C65" w14:textId="436C4FFE" w:rsidR="00DA4131" w:rsidRDefault="00DA4131" w:rsidP="00DA4131">
      <w:pPr>
        <w:pStyle w:val="Balk1"/>
      </w:pPr>
      <w:r>
        <w:t>Graphical Abstract Brief</w:t>
      </w:r>
    </w:p>
    <w:p w14:paraId="60113114" w14:textId="77777777" w:rsidR="00DA4131" w:rsidRDefault="00DA4131" w:rsidP="00DA4131"/>
    <w:p w14:paraId="7C529653" w14:textId="075DE824" w:rsidR="00DA4131" w:rsidRDefault="00DA4131" w:rsidP="00DA4131">
      <w:r>
        <w:t>Fuel Processing Technology encourages a graphical abstract. Elsevier policies state that generative AI or AI-assisted tools must not be used to create or alter submitted figures or graphical abstracts. This file is a manual design brief only.</w:t>
      </w:r>
    </w:p>
    <w:p w14:paraId="539E8C66" w14:textId="77777777" w:rsidR="00DA4131" w:rsidRDefault="00DA4131" w:rsidP="00DA4131"/>
    <w:p w14:paraId="49A4B05D" w14:textId="4E0EC204" w:rsidR="00DA4131" w:rsidRDefault="00DA4131" w:rsidP="00DA4131">
      <w:r>
        <w:t>Minimum size: 531 x 1328 px or proportionally larger.</w:t>
      </w:r>
    </w:p>
    <w:p w14:paraId="5B9DBF40" w14:textId="77777777" w:rsidR="00DA4131" w:rsidRDefault="00DA4131" w:rsidP="00DA4131"/>
    <w:p w14:paraId="316773A7" w14:textId="68CC93A6" w:rsidR="00DA4131" w:rsidRDefault="00DA4131" w:rsidP="00DA4131">
      <w:r>
        <w:t>Preferred formats: TIFF, EPS, PDF, or MS Office.</w:t>
      </w:r>
    </w:p>
    <w:p w14:paraId="13496EEC" w14:textId="77777777" w:rsidR="00DA4131" w:rsidRDefault="00DA4131" w:rsidP="00DA4131"/>
    <w:p w14:paraId="0B8F6D0D" w14:textId="18573E28" w:rsidR="00DA4131" w:rsidRDefault="00DA4131" w:rsidP="00DA4131">
      <w:pPr>
        <w:pStyle w:val="Balk2"/>
      </w:pPr>
      <w:r>
        <w:t>Proposed layout</w:t>
      </w:r>
    </w:p>
    <w:p w14:paraId="7DA324C4" w14:textId="77777777" w:rsidR="00DA4131" w:rsidRDefault="00DA4131" w:rsidP="00DA4131"/>
    <w:p w14:paraId="36F58691" w14:textId="04382CF0" w:rsidR="00DA4131" w:rsidRDefault="00DA4131" w:rsidP="00DA4131">
      <w:r>
        <w:t>Use a fuel-processing workflow:</w:t>
      </w:r>
    </w:p>
    <w:p w14:paraId="54611A01" w14:textId="77777777" w:rsidR="00DA4131" w:rsidRDefault="00DA4131" w:rsidP="00DA4131"/>
    <w:p w14:paraId="32964E11" w14:textId="4B3D9E0B" w:rsidR="00DA4131" w:rsidRDefault="00DA4131" w:rsidP="00DA4131">
      <w:r>
        <w:t>1. Bio-oil composition classes</w:t>
      </w:r>
    </w:p>
    <w:p w14:paraId="0A12ABC1" w14:textId="0953B693" w:rsidR="00DA4131" w:rsidRDefault="00DA4131" w:rsidP="00DA4131">
      <w:r>
        <w:t>2. Steam reformer operating conditions</w:t>
      </w:r>
    </w:p>
    <w:p w14:paraId="0A856A23" w14:textId="3B456701" w:rsidR="00DA4131" w:rsidRDefault="00DA4131" w:rsidP="00DA4131">
      <w:r>
        <w:t>3. Syngas output</w:t>
      </w:r>
    </w:p>
    <w:p w14:paraId="7B4B2796" w14:textId="0D3AA4F3" w:rsidR="00DA4131" w:rsidRDefault="00DA4131" w:rsidP="00DA4131">
      <w:r>
        <w:t>4. Inverse MLP soft sensor</w:t>
      </w:r>
    </w:p>
    <w:p w14:paraId="5045CC98" w14:textId="20C6CFF1" w:rsidR="00DA4131" w:rsidRDefault="00DA4131" w:rsidP="00DA4131">
      <w:r>
        <w:t>5. Composition estimate and process-monitoring decision</w:t>
      </w:r>
    </w:p>
    <w:p w14:paraId="31F44D19" w14:textId="77777777" w:rsidR="00DA4131" w:rsidRDefault="00DA4131" w:rsidP="00DA4131"/>
    <w:p w14:paraId="7059B1EE" w14:textId="3C0BDC51" w:rsidR="00DA4131" w:rsidRDefault="00DA4131" w:rsidP="00DA4131">
      <w:pPr>
        <w:pStyle w:val="Balk2"/>
      </w:pPr>
      <w:r>
        <w:t>Key metrics to show</w:t>
      </w:r>
    </w:p>
    <w:p w14:paraId="30894900" w14:textId="77777777" w:rsidR="00DA4131" w:rsidRDefault="00DA4131" w:rsidP="00DA4131"/>
    <w:p w14:paraId="44447536" w14:textId="0521E1F4" w:rsidR="00DA4131" w:rsidRDefault="00DA4131" w:rsidP="00DA4131">
      <w:pPr>
        <w:pStyle w:val="ListeParagraf"/>
        <w:numPr>
          <w:ilvl w:val="0"/>
          <w:numId w:val="1"/>
        </w:numPr>
      </w:pPr>
      <w:r>
        <w:t>3,150 Cantera cases</w:t>
      </w:r>
    </w:p>
    <w:p w14:paraId="363E6824" w14:textId="5331BDC4" w:rsidR="00DA4131" w:rsidRDefault="00DA4131" w:rsidP="00DA4131">
      <w:pPr>
        <w:pStyle w:val="ListeParagraf"/>
        <w:numPr>
          <w:ilvl w:val="0"/>
          <w:numId w:val="1"/>
        </w:numPr>
      </w:pPr>
      <w:r>
        <w:t>1,350 ML-ready samples</w:t>
      </w:r>
    </w:p>
    <w:p w14:paraId="4A43BF3F" w14:textId="679C545C" w:rsidR="00DA4131" w:rsidRDefault="00DA4131" w:rsidP="00DA4131">
      <w:pPr>
        <w:pStyle w:val="ListeParagraf"/>
        <w:numPr>
          <w:ilvl w:val="0"/>
          <w:numId w:val="1"/>
        </w:numPr>
      </w:pPr>
      <w:r>
        <w:t>row-wise R2 = 0.863</w:t>
      </w:r>
    </w:p>
    <w:p w14:paraId="5CE24B85" w14:textId="5D6785D5" w:rsidR="00DA4131" w:rsidRDefault="00DA4131" w:rsidP="00DA4131">
      <w:pPr>
        <w:pStyle w:val="ListeParagraf"/>
        <w:numPr>
          <w:ilvl w:val="0"/>
          <w:numId w:val="1"/>
        </w:numPr>
      </w:pPr>
      <w:r>
        <w:t>group-holdout warning for unseen bio-oils</w:t>
      </w:r>
    </w:p>
    <w:p w14:paraId="1F6B045F" w14:textId="77777777" w:rsidR="00DA4131" w:rsidRDefault="00DA4131" w:rsidP="00DA4131"/>
    <w:p w14:paraId="19AAF50F" w14:textId="4E87F75F" w:rsidR="00DA4131" w:rsidRDefault="00DA4131" w:rsidP="00DA4131">
      <w:pPr>
        <w:pStyle w:val="Balk2"/>
      </w:pPr>
      <w:r>
        <w:t>Visual rule</w:t>
      </w:r>
    </w:p>
    <w:p w14:paraId="4D2311ED" w14:textId="77777777" w:rsidR="00DA4131" w:rsidRDefault="00DA4131" w:rsidP="00DA4131"/>
    <w:p w14:paraId="4D7D8129" w14:textId="62D0D91C" w:rsidR="00DA4131" w:rsidRDefault="00DA4131" w:rsidP="00DA4131">
      <w:r>
        <w:t>Use author-created vector shapes and project-derived plots only. Do not use web images, stock images, or AI-generated images.</w:t>
      </w:r>
    </w:p>
    <w:p w14:paraId="27AE6550" w14:textId="77777777" w:rsidR="00DA4131" w:rsidRDefault="00DA4131" w:rsidP="00DA4131"/>
    <w:p w14:paraId="62C2F0C4" w14:textId="77777777" w:rsidR="00DA4131" w:rsidRPr="00DA4131" w:rsidRDefault="00DA4131" w:rsidP="00DA4131"/>
    <w:sectPr w:rsidR="00DA4131" w:rsidRPr="00DA41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2754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9055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31"/>
    <w:rsid w:val="00875582"/>
    <w:rsid w:val="00DA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8F0EE"/>
  <w15:chartTrackingRefBased/>
  <w15:docId w15:val="{180D8F62-96F6-44CD-9572-926701B88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A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A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4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4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A4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A4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4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413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413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413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413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413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413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A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A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A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A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A413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A413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A413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4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413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A4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