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1EA5F" w14:textId="427DA0E0" w:rsidR="000A0050" w:rsidRDefault="000A0050" w:rsidP="000A0050">
      <w:pPr>
        <w:pStyle w:val="Balk1"/>
      </w:pPr>
      <w:r>
        <w:t>Figure and Table Plan</w:t>
      </w:r>
    </w:p>
    <w:p w14:paraId="34C9F54E" w14:textId="77777777" w:rsidR="000A0050" w:rsidRDefault="000A0050" w:rsidP="000A0050"/>
    <w:p w14:paraId="6E8A536A" w14:textId="4BAEFBEC" w:rsidR="000A0050" w:rsidRDefault="000A0050" w:rsidP="000A0050">
      <w:pPr>
        <w:pStyle w:val="Balk2"/>
      </w:pPr>
      <w:r>
        <w:t>Figures</w:t>
      </w:r>
    </w:p>
    <w:p w14:paraId="069F4EC4" w14:textId="77777777" w:rsidR="000A0050" w:rsidRDefault="000A0050" w:rsidP="000A0050"/>
    <w:p w14:paraId="3894FA98" w14:textId="465E5B15" w:rsidR="000A0050" w:rsidRDefault="000A0050" w:rsidP="000A0050">
      <w:r>
        <w:t>Figure 1. Bio-oil steam reforming soft-sensor workflow from class-level composition data to syngas-based inverse prediction.</w:t>
      </w:r>
    </w:p>
    <w:p w14:paraId="1C1B99A4" w14:textId="77777777" w:rsidR="000A0050" w:rsidRDefault="000A0050" w:rsidP="000A0050"/>
    <w:p w14:paraId="1C0E10DE" w14:textId="62A9DBD4" w:rsidR="000A0050" w:rsidRDefault="000A0050" w:rsidP="000A0050">
      <w:r>
        <w:t>Figure 2. Cantera reformer simulation matrix for temperature, pressure, steam-to-carbon ratio, and surrogate bio-oil composition.</w:t>
      </w:r>
    </w:p>
    <w:p w14:paraId="6019173E" w14:textId="77777777" w:rsidR="000A0050" w:rsidRDefault="000A0050" w:rsidP="000A0050"/>
    <w:p w14:paraId="5FB2D2DE" w14:textId="6A507705" w:rsidR="000A0050" w:rsidRDefault="000A0050" w:rsidP="000A0050">
      <w:r>
        <w:t>Figure 3. Model comparison for inverse prediction of six fuel-relevant bio-oil classes.</w:t>
      </w:r>
    </w:p>
    <w:p w14:paraId="23BA1ECF" w14:textId="77777777" w:rsidR="000A0050" w:rsidRDefault="000A0050" w:rsidP="000A0050"/>
    <w:p w14:paraId="52071D55" w14:textId="75FD3093" w:rsidR="000A0050" w:rsidRDefault="000A0050" w:rsidP="000A0050">
      <w:r>
        <w:t>Figure 4. Feature interpretation showing CH4, CO2, and H2O as dominant syngas indicators.</w:t>
      </w:r>
    </w:p>
    <w:p w14:paraId="08285DD2" w14:textId="77777777" w:rsidR="000A0050" w:rsidRDefault="000A0050" w:rsidP="000A0050"/>
    <w:p w14:paraId="2061EFD5" w14:textId="683A9080" w:rsidR="000A0050" w:rsidRDefault="000A0050" w:rsidP="000A0050">
      <w:r>
        <w:t>Figure 5. Component-wise BiooilID holdout validation for unseen bio-oil identities.</w:t>
      </w:r>
    </w:p>
    <w:p w14:paraId="39AACE1B" w14:textId="77777777" w:rsidR="000A0050" w:rsidRDefault="000A0050" w:rsidP="000A0050"/>
    <w:p w14:paraId="03B2756A" w14:textId="704F157B" w:rsidR="000A0050" w:rsidRDefault="000A0050" w:rsidP="000A0050">
      <w:pPr>
        <w:pStyle w:val="Balk2"/>
      </w:pPr>
      <w:r>
        <w:t>Tables</w:t>
      </w:r>
    </w:p>
    <w:p w14:paraId="5C695F12" w14:textId="77777777" w:rsidR="000A0050" w:rsidRDefault="000A0050" w:rsidP="000A0050"/>
    <w:p w14:paraId="78A176D5" w14:textId="6558B294" w:rsidR="000A0050" w:rsidRDefault="000A0050" w:rsidP="000A0050">
      <w:r>
        <w:t>Table 1. Dataset construction and fuel-composition target definitions.</w:t>
      </w:r>
    </w:p>
    <w:p w14:paraId="0617D76F" w14:textId="77777777" w:rsidR="000A0050" w:rsidRDefault="000A0050" w:rsidP="000A0050"/>
    <w:p w14:paraId="19298E10" w14:textId="6A3BC3AB" w:rsidR="000A0050" w:rsidRDefault="000A0050" w:rsidP="000A0050">
      <w:r>
        <w:t>Table 2. Row-wise model performance by component.</w:t>
      </w:r>
    </w:p>
    <w:p w14:paraId="3421523D" w14:textId="77777777" w:rsidR="000A0050" w:rsidRDefault="000A0050" w:rsidP="000A0050"/>
    <w:p w14:paraId="67BA047A" w14:textId="664AAB23" w:rsidR="000A0050" w:rsidRDefault="000A0050" w:rsidP="000A0050">
      <w:r>
        <w:t>Table 3. BiooilID holdout performance and deployment interpretation.</w:t>
      </w:r>
    </w:p>
    <w:p w14:paraId="29DB8974" w14:textId="77777777" w:rsidR="000A0050" w:rsidRDefault="000A0050" w:rsidP="000A0050"/>
    <w:p w14:paraId="172EF47E" w14:textId="77777777" w:rsidR="000A0050" w:rsidRPr="000A0050" w:rsidRDefault="000A0050" w:rsidP="000A0050"/>
    <w:sectPr w:rsidR="000A0050" w:rsidRPr="000A00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050"/>
    <w:rsid w:val="000A0050"/>
    <w:rsid w:val="00875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24D55"/>
  <w15:chartTrackingRefBased/>
  <w15:docId w15:val="{D1FDCEAD-5578-45F9-A949-516526BC6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A00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0A00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A00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A00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A00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A00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A00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A00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A00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A00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0A00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A00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A0050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A0050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A005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A005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A005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A005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A00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A00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A00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A00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A00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A005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A005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A0050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A00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A0050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A00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644</Characters>
  <Application>Microsoft Office Word</Application>
  <DocSecurity>0</DocSecurity>
  <Lines>5</Lines>
  <Paragraphs>1</Paragraphs>
  <ScaleCrop>false</ScaleCrop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2026-06-11T15:49:00Z</dcterms:created>
  <dcterms:modified xsi:type="dcterms:W3CDTF">2026-06-11T15:49:00Z</dcterms:modified>
</cp:coreProperties>
</file>