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28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3.png" ContentType="image/png"/>
  <Override PartName="/word/media/rId32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Методы</w:t>
      </w:r>
      <w:r>
        <w:t xml:space="preserve"> </w:t>
      </w:r>
      <w:r>
        <w:t xml:space="preserve">кодирования</w:t>
      </w:r>
      <w:r>
        <w:t xml:space="preserve"> </w:t>
      </w:r>
      <w:r>
        <w:t xml:space="preserve">и</w:t>
      </w:r>
      <w:r>
        <w:t xml:space="preserve"> </w:t>
      </w:r>
      <w:r>
        <w:t xml:space="preserve">модуляция</w:t>
      </w:r>
      <w:r>
        <w:t xml:space="preserve"> </w:t>
      </w:r>
      <w:r>
        <w:t xml:space="preserve">сигналов</w:t>
      </w:r>
    </w:p>
    <w:p>
      <w:pPr>
        <w:pStyle w:val="Author"/>
      </w:pPr>
      <w:r>
        <w:t xml:space="preserve">Лисовская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высокоуровневого языка программирования Octave. Определение спектра и параметров сигнала. Демонстрация принципов модуляции сигнала на примере аналоговой амплитудной модуляции. Исследование свойства самосинхронизации сигнала.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Отработать навыки построения графиков функций в Octave.</w:t>
      </w:r>
    </w:p>
    <w:p>
      <w:pPr>
        <w:numPr>
          <w:ilvl w:val="0"/>
          <w:numId w:val="1001"/>
        </w:numPr>
        <w:pStyle w:val="Compact"/>
      </w:pPr>
      <w:r>
        <w:t xml:space="preserve">Реализовать разложение меандра в ряд Фурье через синусы и косинусы.</w:t>
      </w:r>
    </w:p>
    <w:p>
      <w:pPr>
        <w:numPr>
          <w:ilvl w:val="0"/>
          <w:numId w:val="1001"/>
        </w:numPr>
        <w:pStyle w:val="Compact"/>
      </w:pPr>
      <w:r>
        <w:t xml:space="preserve">Выполнить спектральный анализ сигналов с помощью быстрого преобразования Фурье (БПФ).</w:t>
      </w:r>
    </w:p>
    <w:p>
      <w:pPr>
        <w:numPr>
          <w:ilvl w:val="0"/>
          <w:numId w:val="1001"/>
        </w:numPr>
        <w:pStyle w:val="Compact"/>
      </w:pPr>
      <w:r>
        <w:t xml:space="preserve">Промоделировать процесс амплитудной модуляции (AM).</w:t>
      </w:r>
    </w:p>
    <w:p>
      <w:pPr>
        <w:numPr>
          <w:ilvl w:val="0"/>
          <w:numId w:val="1001"/>
        </w:numPr>
        <w:pStyle w:val="Compact"/>
      </w:pPr>
      <w:r>
        <w:t xml:space="preserve">Реализовать функции для различных методов линейного кодирования (AMI, NRZ, RZ, Manchester, Diff. Manchester).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спектры полученных кодов и их свойства самосинхронизации.</w:t>
      </w:r>
    </w:p>
    <w:bookmarkEnd w:id="21"/>
    <w:bookmarkStart w:id="1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1" w:name="X60f054a0a2fbc9f2bc8bb5504bfcc6ed06828b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Построение графиков и разложение в ряд Фурье</w:t>
      </w:r>
    </w:p>
    <w:p>
      <w:pPr>
        <w:pStyle w:val="FirstParagraph"/>
      </w:pPr>
      <w:r>
        <w:t xml:space="preserve">В начале работы я изучила базовые функции построения графиков. На первом этапе были построены две сложные функции, представляющие собой суммы гармоник синуса и косинуса (рис. 1).</w:t>
      </w:r>
    </w:p>
    <w:p>
      <w:pPr>
        <w:pStyle w:val="CaptionedFigure"/>
      </w:pPr>
      <w:r>
        <w:drawing>
          <wp:inline>
            <wp:extent cx="3733800" cy="3443567"/>
            <wp:effectExtent b="0" l="0" r="0" t="0"/>
            <wp:docPr descr="Графики функций y1 и y2 в одном окн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Графики функций y1 и y2 в одном окне</w:t>
      </w:r>
    </w:p>
    <w:p>
      <w:pPr>
        <w:pStyle w:val="BodyText"/>
      </w:pPr>
      <w:r>
        <w:t xml:space="preserve">Для генерации периодического сигнала типа «меандр» я создала скрипт</w:t>
      </w:r>
      <w:r>
        <w:t xml:space="preserve"> </w:t>
      </w:r>
      <w:r>
        <w:rPr>
          <w:rStyle w:val="VerbatimChar"/>
        </w:rPr>
        <w:t xml:space="preserve">meandr.m</w:t>
      </w:r>
      <w:r>
        <w:t xml:space="preserve">. В этом коде реализовано разложение сигнала в ряд Фурье с использованием косинусоид (рис. 2).</w:t>
      </w:r>
    </w:p>
    <w:p>
      <w:pPr>
        <w:pStyle w:val="CaptionedFigure"/>
      </w:pPr>
      <w:r>
        <w:drawing>
          <wp:inline>
            <wp:extent cx="3733800" cy="2929466"/>
            <wp:effectExtent b="0" l="0" r="0" t="0"/>
            <wp:docPr descr="Код в редакторе Octave — meandr.m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в редакторе Octave — meandr.m</w:t>
      </w:r>
    </w:p>
    <w:p>
      <w:pPr>
        <w:pStyle w:val="BodyText"/>
      </w:pPr>
      <w:r>
        <w:t xml:space="preserve">В качестве альтернативного способа формирования того же сигнала был написан скрипт</w:t>
      </w:r>
      <w:r>
        <w:t xml:space="preserve"> </w:t>
      </w:r>
      <w:r>
        <w:rPr>
          <w:rStyle w:val="VerbatimChar"/>
        </w:rPr>
        <w:t xml:space="preserve">meandr_sin.m</w:t>
      </w:r>
      <w:r>
        <w:t xml:space="preserve">. В данном случае разложение меандра производится через синусоидальные составляющие (рис. 3).</w:t>
      </w:r>
    </w:p>
    <w:p>
      <w:pPr>
        <w:pStyle w:val="CaptionedFigure"/>
      </w:pPr>
      <w:r>
        <w:drawing>
          <wp:inline>
            <wp:extent cx="3733800" cy="3086482"/>
            <wp:effectExtent b="0" l="0" r="0" t="0"/>
            <wp:docPr descr="Код в редакторе Octave — meandr_sin.m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в редакторе Octave — meandr_sin.m</w:t>
      </w:r>
    </w:p>
    <w:bookmarkEnd w:id="31"/>
    <w:bookmarkStart w:id="53" w:name="спектральный-анализ-сигнал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Спектральный анализ сигналов</w:t>
      </w:r>
    </w:p>
    <w:p>
      <w:pPr>
        <w:pStyle w:val="FirstParagraph"/>
      </w:pPr>
      <w:r>
        <w:t xml:space="preserve">Для изучения частотных характеристик я приступила к созданию скрипта</w:t>
      </w:r>
      <w:r>
        <w:t xml:space="preserve"> </w:t>
      </w:r>
      <w:r>
        <w:rPr>
          <w:rStyle w:val="VerbatimChar"/>
        </w:rPr>
        <w:t xml:space="preserve">spectre.m</w:t>
      </w:r>
      <w:r>
        <w:t xml:space="preserve">. В нем задаются параметры дискретизации и формируются два синусоидальных сигнала с частотами 10 Гц и 40 Гц (рис. 4).</w:t>
      </w:r>
    </w:p>
    <w:p>
      <w:pPr>
        <w:pStyle w:val="CaptionedFigure"/>
      </w:pPr>
      <w:r>
        <w:drawing>
          <wp:inline>
            <wp:extent cx="3733800" cy="3081724"/>
            <wp:effectExtent b="0" l="0" r="0" t="0"/>
            <wp:docPr descr="Код в редакторе Octave — spectre.m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в редакторе Octave — spectre.m</w:t>
      </w:r>
    </w:p>
    <w:p>
      <w:pPr>
        <w:pStyle w:val="BodyText"/>
      </w:pPr>
      <w:r>
        <w:t xml:space="preserve">После генерации сигналов я визуализировала их во временной области. Это позволило увидеть разницу в периодах колебаний синусоид разной частоты (рис. 5).</w:t>
      </w:r>
    </w:p>
    <w:p>
      <w:pPr>
        <w:pStyle w:val="CaptionedFigure"/>
      </w:pPr>
      <w:r>
        <w:drawing>
          <wp:inline>
            <wp:extent cx="3465094" cy="3108960"/>
            <wp:effectExtent b="0" l="0" r="0" t="0"/>
            <wp:docPr descr="График двух синусоидальных сигналов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двух синусоидальных сигналов</w:t>
      </w:r>
    </w:p>
    <w:p>
      <w:pPr>
        <w:pStyle w:val="BodyText"/>
      </w:pPr>
      <w:r>
        <w:t xml:space="preserve">Применив встроенную функцию быстрого преобразования Фурье</w:t>
      </w:r>
      <w:r>
        <w:t xml:space="preserve"> </w:t>
      </w:r>
      <w:r>
        <w:rPr>
          <w:rStyle w:val="VerbatimChar"/>
        </w:rPr>
        <w:t xml:space="preserve">fft()</w:t>
      </w:r>
      <w:r>
        <w:t xml:space="preserve">, я получила первичный амплитудный спектр. На данном этапе спектр содержит избыточную информацию и требует нормировки (рис. 6).</w:t>
      </w:r>
    </w:p>
    <w:p>
      <w:pPr>
        <w:pStyle w:val="CaptionedFigure"/>
      </w:pPr>
      <w:r>
        <w:drawing>
          <wp:inline>
            <wp:extent cx="3407343" cy="3214837"/>
            <wp:effectExtent b="0" l="0" r="0" t="0"/>
            <wp:docPr descr="Необработанный спектр сигнал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Необработанный спектр сигналов</w:t>
      </w:r>
    </w:p>
    <w:p>
      <w:pPr>
        <w:pStyle w:val="BodyText"/>
      </w:pPr>
      <w:r>
        <w:t xml:space="preserve">После проведения коррекции спектра (отсечения отрицательных частот и нормировки амплитуд) были получены четкие пики на заданных частотах. На графике отчетливо видны составляющие 10 Гц и 40 Гц (рис. 7).</w:t>
      </w:r>
    </w:p>
    <w:p>
      <w:pPr>
        <w:pStyle w:val="CaptionedFigure"/>
      </w:pPr>
      <w:r>
        <w:drawing>
          <wp:inline>
            <wp:extent cx="3330341" cy="3070458"/>
            <wp:effectExtent b="0" l="0" r="0" t="0"/>
            <wp:docPr descr="Исправленный спектр сигналов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3070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Исправленный спектр сигналов</w:t>
      </w:r>
    </w:p>
    <w:p>
      <w:pPr>
        <w:pStyle w:val="BodyText"/>
      </w:pPr>
      <w:r>
        <w:t xml:space="preserve">Далее я исследовала свойство аддитивности преобразования Фурье. Для этого был написан скрипт</w:t>
      </w:r>
      <w:r>
        <w:t xml:space="preserve"> </w:t>
      </w:r>
      <w:r>
        <w:rPr>
          <w:rStyle w:val="VerbatimChar"/>
        </w:rPr>
        <w:t xml:space="preserve">spectre_sum.m</w:t>
      </w:r>
      <w:r>
        <w:t xml:space="preserve">, рассчитывающий спектр суммы двух сигналов (рис. 8).</w:t>
      </w:r>
    </w:p>
    <w:p>
      <w:pPr>
        <w:pStyle w:val="CaptionedFigure"/>
      </w:pPr>
      <w:r>
        <w:drawing>
          <wp:inline>
            <wp:extent cx="3388092" cy="3060833"/>
            <wp:effectExtent b="0" l="0" r="0" t="0"/>
            <wp:docPr descr="Код в редакторе Octave — spectre_sum.m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306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Код в редакторе Octave — spectre_sum.m</w:t>
      </w:r>
    </w:p>
    <w:p>
      <w:pPr>
        <w:pStyle w:val="BodyText"/>
      </w:pPr>
      <w:r>
        <w:t xml:space="preserve">Результаты вычислений подтвердили теорию: спектр суммы сигналов содержит те же частотные компоненты, что и исходные данные. Это наглядно представлено на графике амплитудного спектра суммарного сигнала (рис. 9).</w:t>
      </w:r>
    </w:p>
    <w:p>
      <w:pPr>
        <w:pStyle w:val="CaptionedFigure"/>
      </w:pPr>
      <w:r>
        <w:drawing>
          <wp:inline>
            <wp:extent cx="2954955" cy="2791326"/>
            <wp:effectExtent b="0" l="0" r="0" t="0"/>
            <wp:docPr descr="Спектр суммарного сигнал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Спектр суммарного сигнала</w:t>
      </w:r>
    </w:p>
    <w:p>
      <w:pPr>
        <w:pStyle w:val="BodyText"/>
      </w:pPr>
      <w:r>
        <w:t xml:space="preserve">Перед анализом спектра я также зафиксировала вид суммарного сигнала во временной области. Сложение двух синусоид дает сложную форму волны с биениями (рис. 10).</w:t>
      </w:r>
    </w:p>
    <w:p>
      <w:pPr>
        <w:pStyle w:val="CaptionedFigure"/>
      </w:pPr>
      <w:r>
        <w:drawing>
          <wp:inline>
            <wp:extent cx="3426593" cy="3118585"/>
            <wp:effectExtent b="0" l="0" r="0" t="0"/>
            <wp:docPr descr="График суммарного сигнала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График суммарного сигнала</w:t>
      </w:r>
    </w:p>
    <w:bookmarkEnd w:id="53"/>
    <w:bookmarkStart w:id="63" w:name="амплитудная-модуляци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Амплитудная модуляция</w:t>
      </w:r>
    </w:p>
    <w:p>
      <w:pPr>
        <w:pStyle w:val="FirstParagraph"/>
      </w:pPr>
      <w:r>
        <w:t xml:space="preserve">Следующим этапом стало моделирование аналоговой амплитудной модуляции в скрипте</w:t>
      </w:r>
      <w:r>
        <w:t xml:space="preserve"> </w:t>
      </w:r>
      <w:r>
        <w:rPr>
          <w:rStyle w:val="VerbatimChar"/>
        </w:rPr>
        <w:t xml:space="preserve">am.m</w:t>
      </w:r>
      <w:r>
        <w:t xml:space="preserve">. Низкочастотное сообщение переносится на высокую частоту несущей (рис. 11).</w:t>
      </w:r>
    </w:p>
    <w:p>
      <w:pPr>
        <w:pStyle w:val="CaptionedFigure"/>
      </w:pPr>
      <w:r>
        <w:drawing>
          <wp:inline>
            <wp:extent cx="3070458" cy="3012707"/>
            <wp:effectExtent b="0" l="0" r="0" t="0"/>
            <wp:docPr descr="Код в редакторе Octave — am.m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301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Код в редакторе Octave — am.m</w:t>
      </w:r>
    </w:p>
    <w:p>
      <w:pPr>
        <w:pStyle w:val="BodyText"/>
      </w:pPr>
      <w:r>
        <w:t xml:space="preserve">Анализ спектра АМ-сигнала показал наличие центральной несущей частоты 50 Гц. Также наблюдаются две боковые полосы на частотах 45 Гц и 55 Гц (рис. 12).</w:t>
      </w:r>
    </w:p>
    <w:p>
      <w:pPr>
        <w:pStyle w:val="CaptionedFigure"/>
      </w:pPr>
      <w:r>
        <w:drawing>
          <wp:inline>
            <wp:extent cx="3493970" cy="2868328"/>
            <wp:effectExtent b="0" l="0" r="0" t="0"/>
            <wp:docPr descr="Спектр АМ-сигнала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86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Спектр АМ-сигнала</w:t>
      </w:r>
    </w:p>
    <w:p>
      <w:pPr>
        <w:pStyle w:val="BodyText"/>
      </w:pPr>
      <w:r>
        <w:t xml:space="preserve">Визуализация АМ-сигнала во временной области демонстрирует, как амплитуда высокочастотного заполнения меняется вслед за огибающей. Красная линия на графике соответствует модулирующему сообщению (рис. 13).</w:t>
      </w:r>
    </w:p>
    <w:p>
      <w:pPr>
        <w:pStyle w:val="CaptionedFigure"/>
      </w:pPr>
      <w:r>
        <w:drawing>
          <wp:inline>
            <wp:extent cx="3609473" cy="2627696"/>
            <wp:effectExtent b="0" l="0" r="0" t="0"/>
            <wp:docPr descr="АМ-сигнал и его огибающая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262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АМ-сигнал и его огибающая</w:t>
      </w:r>
    </w:p>
    <w:bookmarkEnd w:id="63"/>
    <w:bookmarkStart w:id="85" w:name="методы-цифрового-кодирован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Методы цифрового кодирования</w:t>
      </w:r>
    </w:p>
    <w:p>
      <w:pPr>
        <w:pStyle w:val="FirstParagraph"/>
      </w:pPr>
      <w:r>
        <w:t xml:space="preserve">Перед началом реализации алгоритмов кодирования я проверила наличие необходимых библиотек в системе. Пакет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обязателен для работы с функциями обработки сигналов в Octave (рис. 14).</w:t>
      </w:r>
    </w:p>
    <w:p>
      <w:pPr>
        <w:pStyle w:val="CaptionedFigure"/>
      </w:pPr>
      <w:r>
        <w:drawing>
          <wp:inline>
            <wp:extent cx="3705726" cy="3840479"/>
            <wp:effectExtent b="0" l="0" r="0" t="0"/>
            <wp:docPr descr="Список установленных пакетов Octave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26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Список установленных пакетов Octave</w:t>
      </w:r>
    </w:p>
    <w:p>
      <w:pPr>
        <w:pStyle w:val="BodyText"/>
      </w:pPr>
      <w:r>
        <w:t xml:space="preserve">Для управления процессом кодирования и визуализации результатов был создан главный скрипт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. В нем инициализируется тестовая последовательность бит и вызываются соответствующие функции (рис. 15).</w:t>
      </w:r>
    </w:p>
    <w:p>
      <w:pPr>
        <w:pStyle w:val="CaptionedFigure"/>
      </w:pPr>
      <w:r>
        <w:drawing>
          <wp:inline>
            <wp:extent cx="3493970" cy="2550694"/>
            <wp:effectExtent b="0" l="0" r="0" t="0"/>
            <wp:docPr descr="Код в редакторе Octave — main.m (начало)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Код в редакторе Octave — main.m (начало)</w:t>
      </w:r>
    </w:p>
    <w:p>
      <w:pPr>
        <w:pStyle w:val="BodyText"/>
      </w:pPr>
      <w:r>
        <w:t xml:space="preserve">Для корректного отображения сигналов я использовала вспомогательную функцию</w:t>
      </w:r>
      <w:r>
        <w:t xml:space="preserve"> </w:t>
      </w:r>
      <w:r>
        <w:rPr>
          <w:rStyle w:val="VerbatimChar"/>
        </w:rPr>
        <w:t xml:space="preserve">maptowave.m</w:t>
      </w:r>
      <w:r>
        <w:t xml:space="preserve">. Она отвечает за преобразование дискретных уровней в непрерывный временной сигнал (рис. 16).</w:t>
      </w:r>
    </w:p>
    <w:p>
      <w:pPr>
        <w:pStyle w:val="CaptionedFigure"/>
      </w:pPr>
      <w:r>
        <w:drawing>
          <wp:inline>
            <wp:extent cx="3733800" cy="2680676"/>
            <wp:effectExtent b="0" l="0" r="0" t="0"/>
            <wp:docPr descr="Код в редакторе Octave — maptowave.m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Код в редакторе Octave — maptowave.m</w:t>
      </w:r>
    </w:p>
    <w:p>
      <w:pPr>
        <w:pStyle w:val="BodyText"/>
      </w:pPr>
      <w:r>
        <w:t xml:space="preserve">Алгоритм кодирования AMI (Alternate Mark Inversion) был реализован в отдельном файле. Этот метод предполагает чередование полярности импульсов для каждой логической единицы (рис. 17).</w:t>
      </w:r>
    </w:p>
    <w:p>
      <w:pPr>
        <w:pStyle w:val="CaptionedFigure"/>
      </w:pPr>
      <w:r>
        <w:drawing>
          <wp:inline>
            <wp:extent cx="3503595" cy="3792353"/>
            <wp:effectExtent b="0" l="0" r="0" t="0"/>
            <wp:docPr descr="Код в редакторе Octave — ami.m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3792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Код в редакторе Octave — ami.m</w:t>
      </w:r>
    </w:p>
    <w:p>
      <w:pPr>
        <w:pStyle w:val="BodyText"/>
      </w:pPr>
      <w:r>
        <w:t xml:space="preserve">Кодирование RZ (Return to Zero) реализовано в функции</w:t>
      </w:r>
      <w:r>
        <w:t xml:space="preserve"> </w:t>
      </w:r>
      <w:r>
        <w:rPr>
          <w:rStyle w:val="VerbatimChar"/>
        </w:rPr>
        <w:t xml:space="preserve">bipolarrz.m</w:t>
      </w:r>
      <w:r>
        <w:t xml:space="preserve">. Особенностью данного кода является возврат сигнала к нулевому уровню в середине каждого тактового интервала (рис. 18).</w:t>
      </w:r>
    </w:p>
    <w:p>
      <w:pPr>
        <w:pStyle w:val="CaptionedFigure"/>
      </w:pPr>
      <w:r>
        <w:drawing>
          <wp:inline>
            <wp:extent cx="3455469" cy="2560320"/>
            <wp:effectExtent b="0" l="0" r="0" t="0"/>
            <wp:docPr descr="Код в редакторе Octave — bipolarrz.m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Код в редакторе Octave — bipolarrz.m</w:t>
      </w:r>
    </w:p>
    <w:p>
      <w:pPr>
        <w:pStyle w:val="BodyText"/>
      </w:pPr>
      <w:r>
        <w:t xml:space="preserve">Манчестерское кодирование обеспечивает обязательный перепад уровня в середине каждого бита. Это гарантирует надежное выделение тактовой частоты приемником (рис. 19).</w:t>
      </w:r>
    </w:p>
    <w:p>
      <w:pPr>
        <w:pStyle w:val="CaptionedFigure"/>
      </w:pPr>
      <w:r>
        <w:drawing>
          <wp:inline>
            <wp:extent cx="3733800" cy="2973738"/>
            <wp:effectExtent b="0" l="0" r="0" t="0"/>
            <wp:docPr descr="Код в редакторе Octave — manchester.m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3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Код в редакторе Octave — manchester.m</w:t>
      </w:r>
    </w:p>
    <w:p>
      <w:pPr>
        <w:pStyle w:val="BodyText"/>
      </w:pPr>
      <w:r>
        <w:t xml:space="preserve">Дифференциальное манчестерское кодирование сочетает преимущества манчестерского кода с относительным способом передачи. Информацию несет наличие или отсутствие перехода в начале такта (рис. 20).</w:t>
      </w:r>
    </w:p>
    <w:p>
      <w:pPr>
        <w:pStyle w:val="CaptionedFigure"/>
      </w:pPr>
      <w:r>
        <w:drawing>
          <wp:inline>
            <wp:extent cx="3733800" cy="1679394"/>
            <wp:effectExtent b="0" l="0" r="0" t="0"/>
            <wp:docPr descr="Код в редакторе Octave — diffmanchester.m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Код в редакторе Octave — diffmanchester.m</w:t>
      </w:r>
    </w:p>
    <w:bookmarkEnd w:id="85"/>
    <w:bookmarkStart w:id="104" w:name="результаты-моделирования-кодов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Результаты моделирования кодов</w:t>
      </w:r>
    </w:p>
    <w:p>
      <w:pPr>
        <w:pStyle w:val="FirstParagraph"/>
      </w:pPr>
      <w:r>
        <w:t xml:space="preserve">На графике сигнала AMI видно, как единицы передаются импульсами разной полярности, а нули — отсутствием напряжения. Это позволяет избавиться от постоянной составляющей (рис. 21).</w:t>
      </w:r>
    </w:p>
    <w:p>
      <w:pPr>
        <w:pStyle w:val="CaptionedFigure"/>
      </w:pPr>
      <w:r>
        <w:drawing>
          <wp:inline>
            <wp:extent cx="3551722" cy="3561347"/>
            <wp:effectExtent b="0" l="0" r="0" t="0"/>
            <wp:docPr descr="График кодирования AMI" title="" id="87" name="Picture"/>
            <a:graphic>
              <a:graphicData uri="http://schemas.openxmlformats.org/drawingml/2006/picture">
                <pic:pic>
                  <pic:nvPicPr>
                    <pic:cNvPr descr="image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356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График кодирования AMI</w:t>
      </w:r>
    </w:p>
    <w:p>
      <w:pPr>
        <w:pStyle w:val="BodyText"/>
      </w:pPr>
      <w:r>
        <w:t xml:space="preserve">Сигнал NRZ является наиболее простым в реализации. На графике видно, что уровни напряжения соответствуют логическим состояниям на протяжении всего такта (рис. 22).</w:t>
      </w:r>
    </w:p>
    <w:p>
      <w:pPr>
        <w:pStyle w:val="CaptionedFigure"/>
      </w:pPr>
      <w:r>
        <w:drawing>
          <wp:inline>
            <wp:extent cx="3667225" cy="924025"/>
            <wp:effectExtent b="0" l="0" r="0" t="0"/>
            <wp:docPr descr="График кодирования NRZ" title="" id="90" name="Picture"/>
            <a:graphic>
              <a:graphicData uri="http://schemas.openxmlformats.org/drawingml/2006/picture">
                <pic:pic>
                  <pic:nvPicPr>
                    <pic:cNvPr descr="image/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25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График кодирования NRZ</w:t>
      </w:r>
    </w:p>
    <w:p>
      <w:pPr>
        <w:pStyle w:val="BodyText"/>
      </w:pPr>
      <w:r>
        <w:t xml:space="preserve">При дифференциальном манчестерском кодировании форма сигнала зависит от предыдущего состояния. На рисунке показано формирование волновой формы для заданной битовой последовательности (рис. 23).</w:t>
      </w:r>
    </w:p>
    <w:p>
      <w:pPr>
        <w:pStyle w:val="CaptionedFigure"/>
      </w:pPr>
      <w:r>
        <w:drawing>
          <wp:inline>
            <wp:extent cx="3686475" cy="1328286"/>
            <wp:effectExtent b="0" l="0" r="0" t="0"/>
            <wp:docPr descr="График дифференциального манчестерского кодирования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13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График дифференциального манчестерского кодирования</w:t>
      </w:r>
    </w:p>
    <w:p>
      <w:pPr>
        <w:pStyle w:val="BodyText"/>
      </w:pPr>
      <w:r>
        <w:t xml:space="preserve">Манчестерский код характеризуется постоянным изменением уровня. На графике видно, что каждая единица представлена переходом «вниз», а ноль — «вверх» (рис. 24).</w:t>
      </w:r>
    </w:p>
    <w:p>
      <w:pPr>
        <w:pStyle w:val="CaptionedFigure"/>
      </w:pPr>
      <w:r>
        <w:drawing>
          <wp:inline>
            <wp:extent cx="3580597" cy="943275"/>
            <wp:effectExtent b="0" l="0" r="0" t="0"/>
            <wp:docPr descr="График манчестерского кодирования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9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График манчестерского кодирования</w:t>
      </w:r>
    </w:p>
    <w:p>
      <w:pPr>
        <w:pStyle w:val="BodyText"/>
      </w:pPr>
      <w:r>
        <w:t xml:space="preserve">Для более детального изучения структуры дифференциального манчестерского кода я вывела график в увеличенном масштабе. Это позволяет точнее проанализировать моменты смены фазы (рис. 25).</w:t>
      </w:r>
    </w:p>
    <w:p>
      <w:pPr>
        <w:pStyle w:val="CaptionedFigure"/>
      </w:pPr>
      <w:r>
        <w:drawing>
          <wp:inline>
            <wp:extent cx="3647974" cy="1116530"/>
            <wp:effectExtent b="0" l="0" r="0" t="0"/>
            <wp:docPr descr="График дифференциального манчестерского кодирования (другой масштаб)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74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График дифференциального манчестерского кодирования (другой масштаб)</w:t>
      </w:r>
    </w:p>
    <w:p>
      <w:pPr>
        <w:pStyle w:val="BodyText"/>
      </w:pPr>
      <w:r>
        <w:t xml:space="preserve">Код RZ демонстрирует трёхуровневую структуру. Каждая единица возвращается к нулю ровно в середине битового интервала, что видно на временной диаграмме (рис. 26).</w:t>
      </w:r>
    </w:p>
    <w:p>
      <w:pPr>
        <w:pStyle w:val="CaptionedFigure"/>
      </w:pPr>
      <w:r>
        <w:drawing>
          <wp:inline>
            <wp:extent cx="3657600" cy="962526"/>
            <wp:effectExtent b="0" l="0" r="0" t="0"/>
            <wp:docPr descr="График кодирования RZ" title="" id="102" name="Picture"/>
            <a:graphic>
              <a:graphicData uri="http://schemas.openxmlformats.org/drawingml/2006/picture">
                <pic:pic>
                  <pic:nvPicPr>
                    <pic:cNvPr descr="image/2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График кодирования RZ</w:t>
      </w:r>
    </w:p>
    <w:bookmarkEnd w:id="104"/>
    <w:bookmarkStart w:id="123" w:name="спектральные-характеристики-кодов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Спектральные характеристики кодов</w:t>
      </w:r>
    </w:p>
    <w:p>
      <w:pPr>
        <w:pStyle w:val="FirstParagraph"/>
      </w:pPr>
      <w:r>
        <w:t xml:space="preserve">Спектр кода AMI показывает отсутствие энергии на нулевой частоте. Это подтверждает пригодность кода для передачи через трансформаторные развязки (рис. 27).</w:t>
      </w:r>
    </w:p>
    <w:p>
      <w:pPr>
        <w:pStyle w:val="CaptionedFigure"/>
      </w:pPr>
      <w:r>
        <w:drawing>
          <wp:inline>
            <wp:extent cx="3368842" cy="2213810"/>
            <wp:effectExtent b="0" l="0" r="0" t="0"/>
            <wp:docPr descr="Спектр кодирования AMI" title="" id="106" name="Picture"/>
            <a:graphic>
              <a:graphicData uri="http://schemas.openxmlformats.org/drawingml/2006/picture">
                <pic:pic>
                  <pic:nvPicPr>
                    <pic:cNvPr descr="image/2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42" cy="2213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Спектр кодирования AMI</w:t>
      </w:r>
    </w:p>
    <w:p>
      <w:pPr>
        <w:pStyle w:val="BodyText"/>
      </w:pPr>
      <w:r>
        <w:t xml:space="preserve">В спектре NRZ-сигнала наблюдается значительная концентрация энергии на низких частотах. Ширина основного лепестка спектра минимальна среди всех изученных кодов (рис. 28).</w:t>
      </w:r>
    </w:p>
    <w:p>
      <w:pPr>
        <w:pStyle w:val="CaptionedFigure"/>
      </w:pPr>
      <w:r>
        <w:drawing>
          <wp:inline>
            <wp:extent cx="2983831" cy="2358189"/>
            <wp:effectExtent b="0" l="0" r="0" t="0"/>
            <wp:docPr descr="Спектр кодирования NRZ" title="" id="109" name="Picture"/>
            <a:graphic>
              <a:graphicData uri="http://schemas.openxmlformats.org/drawingml/2006/picture">
                <pic:pic>
                  <pic:nvPicPr>
                    <pic:cNvPr descr="image/2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1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Спектр кодирования NRZ</w:t>
      </w:r>
    </w:p>
    <w:p>
      <w:pPr>
        <w:pStyle w:val="BodyText"/>
      </w:pPr>
      <w:r>
        <w:t xml:space="preserve">Спектр кода RZ шире спектра NRZ, так как длительность импульса меньше. Это требует большей полосы пропускания канала связи (рис. 29).</w:t>
      </w:r>
    </w:p>
    <w:p>
      <w:pPr>
        <w:pStyle w:val="CaptionedFigure"/>
      </w:pPr>
      <w:r>
        <w:drawing>
          <wp:inline>
            <wp:extent cx="3733800" cy="2874043"/>
            <wp:effectExtent b="0" l="0" r="0" t="0"/>
            <wp:docPr descr="Спектр кодирования RZ" title="" id="112" name="Picture"/>
            <a:graphic>
              <a:graphicData uri="http://schemas.openxmlformats.org/drawingml/2006/picture">
                <pic:pic>
                  <pic:nvPicPr>
                    <pic:cNvPr descr="image/29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Спектр кодирования RZ</w:t>
      </w:r>
    </w:p>
    <w:p>
      <w:pPr>
        <w:pStyle w:val="BodyText"/>
      </w:pPr>
      <w:r>
        <w:t xml:space="preserve">Дифференциальный манчестерский код обладает спектром, смещенным в область высоких частот. Это обусловлено частыми изменениями уровня сигнала (рис. 30).</w:t>
      </w:r>
    </w:p>
    <w:p>
      <w:pPr>
        <w:pStyle w:val="CaptionedFigure"/>
      </w:pPr>
      <w:r>
        <w:drawing>
          <wp:inline>
            <wp:extent cx="3733800" cy="2792089"/>
            <wp:effectExtent b="0" l="0" r="0" t="0"/>
            <wp:docPr descr="Спектр дифференциального манчестерского кодирования" title="" id="115" name="Picture"/>
            <a:graphic>
              <a:graphicData uri="http://schemas.openxmlformats.org/drawingml/2006/picture">
                <pic:pic>
                  <pic:nvPicPr>
                    <pic:cNvPr descr="image/3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Спектр дифференциального манчестерского кодирования</w:t>
      </w:r>
    </w:p>
    <w:p>
      <w:pPr>
        <w:pStyle w:val="BodyText"/>
      </w:pPr>
      <w:r>
        <w:t xml:space="preserve">Спектр манчестерского кодирования схож с дифференциальным вариантом. Основная часть энергии сосредоточена на частотах, близких к тактовой (рис. 31).</w:t>
      </w:r>
    </w:p>
    <w:p>
      <w:pPr>
        <w:pStyle w:val="CaptionedFigure"/>
      </w:pPr>
      <w:r>
        <w:drawing>
          <wp:inline>
            <wp:extent cx="3733800" cy="2844400"/>
            <wp:effectExtent b="0" l="0" r="0" t="0"/>
            <wp:docPr descr="Спектр манчестерского кодирования" title="" id="118" name="Picture"/>
            <a:graphic>
              <a:graphicData uri="http://schemas.openxmlformats.org/drawingml/2006/picture">
                <pic:pic>
                  <pic:nvPicPr>
                    <pic:cNvPr descr="image/3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Спектр манчестерского кодирования</w:t>
      </w:r>
    </w:p>
    <w:p>
      <w:pPr>
        <w:pStyle w:val="BodyText"/>
      </w:pPr>
      <w:r>
        <w:t xml:space="preserve">Для сравнения я также рассчитала спектр униполярного кода. Он характеризуется наличием ярко выраженной постоянной составляющей (рис. 32).</w:t>
      </w:r>
    </w:p>
    <w:p>
      <w:pPr>
        <w:pStyle w:val="CaptionedFigure"/>
      </w:pPr>
      <w:r>
        <w:drawing>
          <wp:inline>
            <wp:extent cx="3733800" cy="2958524"/>
            <wp:effectExtent b="0" l="0" r="0" t="0"/>
            <wp:docPr descr="Спектр униполярного кодирования" title="" id="121" name="Picture"/>
            <a:graphic>
              <a:graphicData uri="http://schemas.openxmlformats.org/drawingml/2006/picture">
                <pic:pic>
                  <pic:nvPicPr>
                    <pic:cNvPr descr="image/3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8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Спектр униполярного кодирования</w:t>
      </w:r>
    </w:p>
    <w:bookmarkEnd w:id="123"/>
    <w:bookmarkStart w:id="142" w:name="исследование-самосинхронизации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Исследование самосинхронизации</w:t>
      </w:r>
    </w:p>
    <w:p>
      <w:pPr>
        <w:pStyle w:val="FirstParagraph"/>
      </w:pPr>
      <w:r>
        <w:t xml:space="preserve">Для проверки устойчивости синхронизации я подала на вход последовательность с длинной серией нулей. В коде AMI в этот момент переходы отсутствуют, что ведет к потере синхронизации (рис. 33).</w:t>
      </w:r>
    </w:p>
    <w:p>
      <w:pPr>
        <w:pStyle w:val="CaptionedFigure"/>
      </w:pPr>
      <w:r>
        <w:drawing>
          <wp:inline>
            <wp:extent cx="3733800" cy="2418793"/>
            <wp:effectExtent b="0" l="0" r="0" t="0"/>
            <wp:docPr descr="График AMI для проверки самосинхронизации" title="" id="125" name="Picture"/>
            <a:graphic>
              <a:graphicData uri="http://schemas.openxmlformats.org/drawingml/2006/picture">
                <pic:pic>
                  <pic:nvPicPr>
                    <pic:cNvPr descr="image/3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График AMI для проверки самосинхронизации</w:t>
      </w:r>
    </w:p>
    <w:p>
      <w:pPr>
        <w:pStyle w:val="BodyText"/>
      </w:pPr>
      <w:r>
        <w:t xml:space="preserve">Аналогичная проблема наблюдается у кода NRZ. При передаче длинной серии единиц или нулей сигнал остается неизменным, и приемник не может выделить такты (рис. 34).</w:t>
      </w:r>
    </w:p>
    <w:p>
      <w:pPr>
        <w:pStyle w:val="CaptionedFigure"/>
      </w:pPr>
      <w:r>
        <w:drawing>
          <wp:inline>
            <wp:extent cx="3493970" cy="3118585"/>
            <wp:effectExtent b="0" l="0" r="0" t="0"/>
            <wp:docPr descr="График NRZ для проверки самосинхронизации" title="" id="128" name="Picture"/>
            <a:graphic>
              <a:graphicData uri="http://schemas.openxmlformats.org/drawingml/2006/picture">
                <pic:pic>
                  <pic:nvPicPr>
                    <pic:cNvPr descr="image/3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График NRZ для проверки самосинхронизации</w:t>
      </w:r>
    </w:p>
    <w:p>
      <w:pPr>
        <w:pStyle w:val="BodyText"/>
      </w:pPr>
      <w:r>
        <w:t xml:space="preserve">Код RZ успешно решает проблему самосинхронизации при передаче единиц, так как в каждом такте есть возврат к нулю. Однако серия нулей по-прежнему остается проблемной зоной (рис. 35).</w:t>
      </w:r>
    </w:p>
    <w:p>
      <w:pPr>
        <w:pStyle w:val="CaptionedFigure"/>
      </w:pPr>
      <w:r>
        <w:drawing>
          <wp:inline>
            <wp:extent cx="3733800" cy="2636708"/>
            <wp:effectExtent b="0" l="0" r="0" t="0"/>
            <wp:docPr descr="График RZ для проверки самосинхронизации" title="" id="131" name="Picture"/>
            <a:graphic>
              <a:graphicData uri="http://schemas.openxmlformats.org/drawingml/2006/picture">
                <pic:pic>
                  <pic:nvPicPr>
                    <pic:cNvPr descr="image/3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График RZ для проверки самосинхронизации</w:t>
      </w:r>
    </w:p>
    <w:p>
      <w:pPr>
        <w:pStyle w:val="BodyText"/>
      </w:pPr>
      <w:r>
        <w:t xml:space="preserve">Дифференциальный манчестерский код обеспечивает идеальную самосинхронизацию. Независимо от передаваемых данных, в сигнале всегда присутствуют переходы (рис. 36).</w:t>
      </w:r>
    </w:p>
    <w:p>
      <w:pPr>
        <w:pStyle w:val="CaptionedFigure"/>
      </w:pPr>
      <w:r>
        <w:drawing>
          <wp:inline>
            <wp:extent cx="3733800" cy="2854725"/>
            <wp:effectExtent b="0" l="0" r="0" t="0"/>
            <wp:docPr descr="График дифференциального манчестерского кодирования для проверки синхронизации" title="" id="134" name="Picture"/>
            <a:graphic>
              <a:graphicData uri="http://schemas.openxmlformats.org/drawingml/2006/picture">
                <pic:pic>
                  <pic:nvPicPr>
                    <pic:cNvPr descr="image/3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График дифференциального манчестерского кодирования для проверки синхронизации</w:t>
      </w:r>
    </w:p>
    <w:p>
      <w:pPr>
        <w:pStyle w:val="BodyText"/>
      </w:pPr>
      <w:r>
        <w:t xml:space="preserve">Манчестерский код также демонстрирует отличные свойства самосинхронизации. Обязательный переход в центре каждого бита позволяет приемнику работать стабильно (рис. 37).</w:t>
      </w:r>
    </w:p>
    <w:p>
      <w:pPr>
        <w:pStyle w:val="CaptionedFigure"/>
      </w:pPr>
      <w:r>
        <w:drawing>
          <wp:inline>
            <wp:extent cx="3137835" cy="2935705"/>
            <wp:effectExtent b="0" l="0" r="0" t="0"/>
            <wp:docPr descr="График манчестерского кодирования для проверки синхронизации" title="" id="137" name="Picture"/>
            <a:graphic>
              <a:graphicData uri="http://schemas.openxmlformats.org/drawingml/2006/picture">
                <pic:pic>
                  <pic:nvPicPr>
                    <pic:cNvPr descr="image/37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293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График манчестерского кодирования для проверки синхронизации</w:t>
      </w:r>
    </w:p>
    <w:p>
      <w:pPr>
        <w:pStyle w:val="BodyText"/>
      </w:pPr>
      <w:r>
        <w:t xml:space="preserve">В завершение тестов я проверила униполярный код на длинной серии нулей. Результат подтвердил отсутствие переходов и невозможность восстановления синхронизации (рис. 38).</w:t>
      </w:r>
    </w:p>
    <w:p>
      <w:pPr>
        <w:pStyle w:val="CaptionedFigure"/>
      </w:pPr>
      <w:r>
        <w:drawing>
          <wp:inline>
            <wp:extent cx="3733800" cy="2912533"/>
            <wp:effectExtent b="0" l="0" r="0" t="0"/>
            <wp:docPr descr="График униполярного кодирования для проверки синхронизации" title="" id="140" name="Picture"/>
            <a:graphic>
              <a:graphicData uri="http://schemas.openxmlformats.org/drawingml/2006/picture">
                <pic:pic>
                  <pic:nvPicPr>
                    <pic:cNvPr descr="image/3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График униполярного кодирования для проверки синхронизации</w:t>
      </w:r>
    </w:p>
    <w:bookmarkEnd w:id="142"/>
    <w:bookmarkStart w:id="164" w:name="дополнительные-результаты-анализа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Дополнительные результаты анализа</w:t>
      </w:r>
    </w:p>
    <w:p>
      <w:pPr>
        <w:pStyle w:val="FirstParagraph"/>
      </w:pPr>
      <w:r>
        <w:t xml:space="preserve">Ниже представлены дополнительные графики спектральных плотностей мощности и временные диаграммы, полученные в ходе уточняющих экспериментов (рис. 39 - 45).</w:t>
      </w:r>
    </w:p>
    <w:p>
      <w:pPr>
        <w:pStyle w:val="CaptionedFigure"/>
      </w:pPr>
      <w:r>
        <w:drawing>
          <wp:inline>
            <wp:extent cx="3330341" cy="2829827"/>
            <wp:effectExtent b="0" l="0" r="0" t="0"/>
            <wp:docPr descr="Дополнительный анализ спектральной плотности №1" title="" id="144" name="Picture"/>
            <a:graphic>
              <a:graphicData uri="http://schemas.openxmlformats.org/drawingml/2006/picture">
                <pic:pic>
                  <pic:nvPicPr>
                    <pic:cNvPr descr="image/3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Дополнительный анализ спектральной плотности №1</w:t>
      </w:r>
    </w:p>
    <w:p>
      <w:pPr>
        <w:pStyle w:val="CaptionedFigure"/>
      </w:pPr>
      <w:r>
        <w:drawing>
          <wp:inline>
            <wp:extent cx="3503595" cy="2954955"/>
            <wp:effectExtent b="0" l="0" r="0" t="0"/>
            <wp:docPr descr="Дополнительный анализ спектральной плотности №2" title="" id="147" name="Picture"/>
            <a:graphic>
              <a:graphicData uri="http://schemas.openxmlformats.org/drawingml/2006/picture">
                <pic:pic>
                  <pic:nvPicPr>
                    <pic:cNvPr descr="image/40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Дополнительный анализ спектральной плотности №2</w:t>
      </w:r>
    </w:p>
    <w:p>
      <w:pPr>
        <w:pStyle w:val="CaptionedFigure"/>
      </w:pPr>
      <w:r>
        <w:drawing>
          <wp:inline>
            <wp:extent cx="3272589" cy="2887578"/>
            <wp:effectExtent b="0" l="0" r="0" t="0"/>
            <wp:docPr descr="Дополнительный анализ спектральной плотности №3" title="" id="150" name="Picture"/>
            <a:graphic>
              <a:graphicData uri="http://schemas.openxmlformats.org/drawingml/2006/picture">
                <pic:pic>
                  <pic:nvPicPr>
                    <pic:cNvPr descr="image/4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28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Дополнительный анализ спектральной плотности №3</w:t>
      </w:r>
    </w:p>
    <w:p>
      <w:pPr>
        <w:pStyle w:val="CaptionedFigure"/>
      </w:pPr>
      <w:r>
        <w:drawing>
          <wp:inline>
            <wp:extent cx="3522846" cy="2906829"/>
            <wp:effectExtent b="0" l="0" r="0" t="0"/>
            <wp:docPr descr="Уточняющая временная диаграмма кодирования №1" title="" id="153" name="Picture"/>
            <a:graphic>
              <a:graphicData uri="http://schemas.openxmlformats.org/drawingml/2006/picture">
                <pic:pic>
                  <pic:nvPicPr>
                    <pic:cNvPr descr="image/4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Уточняющая временная диаграмма кодирования №1</w:t>
      </w:r>
    </w:p>
    <w:p>
      <w:pPr>
        <w:pStyle w:val="CaptionedFigure"/>
      </w:pPr>
      <w:r>
        <w:drawing>
          <wp:inline>
            <wp:extent cx="3291840" cy="2906829"/>
            <wp:effectExtent b="0" l="0" r="0" t="0"/>
            <wp:docPr descr="Уточняющая временная диаграмма кодирования №2" title="" id="156" name="Picture"/>
            <a:graphic>
              <a:graphicData uri="http://schemas.openxmlformats.org/drawingml/2006/picture">
                <pic:pic>
                  <pic:nvPicPr>
                    <pic:cNvPr descr="image/4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Уточняющая временная диаграмма кодирования №2</w:t>
      </w:r>
    </w:p>
    <w:p>
      <w:pPr>
        <w:pStyle w:val="CaptionedFigure"/>
      </w:pPr>
      <w:r>
        <w:drawing>
          <wp:inline>
            <wp:extent cx="3493970" cy="3060833"/>
            <wp:effectExtent b="0" l="0" r="0" t="0"/>
            <wp:docPr descr="Уточняющая временная диаграмма кодирования №3" title="" id="159" name="Picture"/>
            <a:graphic>
              <a:graphicData uri="http://schemas.openxmlformats.org/drawingml/2006/picture">
                <pic:pic>
                  <pic:nvPicPr>
                    <pic:cNvPr descr="image/44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306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Уточняющая временная диаграмма кодирования №3</w:t>
      </w:r>
    </w:p>
    <w:p>
      <w:pPr>
        <w:pStyle w:val="CaptionedFigure"/>
      </w:pPr>
      <w:r>
        <w:drawing>
          <wp:inline>
            <wp:extent cx="3733800" cy="2572994"/>
            <wp:effectExtent b="0" l="0" r="0" t="0"/>
            <wp:docPr descr="Сводный график результатов экспериментов" title="" id="162" name="Picture"/>
            <a:graphic>
              <a:graphicData uri="http://schemas.openxmlformats.org/drawingml/2006/picture">
                <pic:pic>
                  <pic:nvPicPr>
                    <pic:cNvPr descr="image/45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Сводный график результатов экспериментов</w:t>
      </w:r>
    </w:p>
    <w:bookmarkEnd w:id="164"/>
    <w:bookmarkEnd w:id="165"/>
    <w:bookmarkStart w:id="16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освоила методы математического моделирования сигналов в среде Octave. Были успешно реализованы алгоритмы спектрального анализа на основе БПФ и моделирование амплитудной модуляции.</w:t>
      </w:r>
    </w:p>
    <w:p>
      <w:pPr>
        <w:pStyle w:val="BodyText"/>
      </w:pPr>
      <w:r>
        <w:t xml:space="preserve">Особое внимание было уделено изучению методов линейного кодирования. В результате сравнительного анализа было установлено, что манчестерские коды обладают наилучшими свойствами самосинхронизации, в то время как коды NRZ и AMI требуют специальных методов для предотвращения потери синхронизации при передаче длинных серий одинаковых бит. Полученные навыки необходимы для понимания принципов работы современных систем передачи данных.</w:t>
      </w:r>
    </w:p>
    <w:bookmarkEnd w:id="166"/>
    <w:bookmarkStart w:id="16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Что такое спектр сигнала?</w:t>
      </w:r>
      <w:r>
        <w:t xml:space="preserve"> </w:t>
      </w:r>
      <w:r>
        <w:t xml:space="preserve">Это распределение амплитуд или мощностей составляющих гармонических колебаний сигнала по частотам.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 чем преимущество манчестерского кодирования?</w:t>
      </w:r>
      <w:r>
        <w:t xml:space="preserve"> </w:t>
      </w:r>
      <w:r>
        <w:t xml:space="preserve">Оно обладает свойством самосинхронизации и не имеет постоянной составляющей, что упрощает передачу данных.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Зачем нужна модуляция?</w:t>
      </w:r>
      <w:r>
        <w:t xml:space="preserve"> </w:t>
      </w:r>
      <w:r>
        <w:t xml:space="preserve">Модуляция позволяет перенести низкочастотный информационный сигнал в высокочастотную область для эффективной передачи на расстояние через физическую среду.</w:t>
      </w:r>
    </w:p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28" Target="media/rId28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2" Target="media/rId32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Лисовская Арина Валерьевна</dc:creator>
  <dc:language>ru-RU</dc:language>
  <cp:keywords/>
  <dcterms:created xsi:type="dcterms:W3CDTF">2026-02-01T20:55:21Z</dcterms:created>
  <dcterms:modified xsi:type="dcterms:W3CDTF">2026-02-01T20:55:21Z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Методы кодирования и модуляция сигналов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