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Лисовская</w:t>
      </w:r>
      <w:r>
        <w:t xml:space="preserve"> </w:t>
      </w:r>
      <w:r>
        <w:t xml:space="preserve">Арина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 для эмуляции компьютерных сетей. Изучение принципов работы виртуальной среды и импорт образов сетевых устройств.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пакет GNS3-all-in-one и виртуальную машину GNS3 VM.</w:t>
      </w:r>
    </w:p>
    <w:p>
      <w:pPr>
        <w:numPr>
          <w:ilvl w:val="0"/>
          <w:numId w:val="1001"/>
        </w:numPr>
        <w:pStyle w:val="Compact"/>
      </w:pPr>
      <w:r>
        <w:t xml:space="preserve">Настроить параметры виртуализации и сетевого взаимодействия в VirtualBox.</w:t>
      </w:r>
    </w:p>
    <w:p>
      <w:pPr>
        <w:numPr>
          <w:ilvl w:val="0"/>
          <w:numId w:val="1001"/>
        </w:numPr>
        <w:pStyle w:val="Compact"/>
      </w:pPr>
      <w:r>
        <w:t xml:space="preserve">Выполнить интеграцию клиента GNS3 с сервером.</w:t>
      </w:r>
    </w:p>
    <w:p>
      <w:pPr>
        <w:numPr>
          <w:ilvl w:val="0"/>
          <w:numId w:val="1001"/>
        </w:numPr>
        <w:pStyle w:val="Compact"/>
      </w:pPr>
      <w:r>
        <w:t xml:space="preserve">Импортировать и настроить шаблоны маршрутизаторов FRR и VyOS.</w:t>
      </w:r>
    </w:p>
    <w:bookmarkEnd w:id="21"/>
    <w:bookmarkStart w:id="7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Первым шагом я приступаю к установке клиентской части GNS3. Для автоматизации процесса в ОС Windows использую менеджер пакетов Chocolatey, запуская команду установки в терминале PowerShell с правами администратора, что позволяет избежать проблем с правами доступа (рис.1).</w:t>
      </w:r>
    </w:p>
    <w:p>
      <w:pPr>
        <w:pStyle w:val="CaptionedFigure"/>
      </w:pPr>
      <w:r>
        <w:drawing>
          <wp:inline>
            <wp:extent cx="3733800" cy="2185813"/>
            <wp:effectExtent b="0" l="0" r="0" t="0"/>
            <wp:docPr descr="Установка GNS3 через Chocolatey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5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GNS3 через Chocolatey</w:t>
      </w:r>
    </w:p>
    <w:p>
      <w:pPr>
        <w:pStyle w:val="BodyText"/>
      </w:pPr>
      <w:r>
        <w:t xml:space="preserve">После подготовки клиентской части необходимо импортировать среду исполнения — GNS3 VM. Я открываю VirtualBox и использую мастер импорта конфигураций для добавления предварительно скачанного файла образа в формате OVA, который станет основным сервером для запуска сетевых устройств (рис.2).</w:t>
      </w:r>
    </w:p>
    <w:p>
      <w:pPr>
        <w:pStyle w:val="CaptionedFigure"/>
      </w:pPr>
      <w:r>
        <w:drawing>
          <wp:inline>
            <wp:extent cx="3733800" cy="1997148"/>
            <wp:effectExtent b="0" l="0" r="0" t="0"/>
            <wp:docPr descr="Импорт образа GNS3 VM в VirtualBox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Импорт образа GNS3 VM в VirtualBox</w:t>
      </w:r>
    </w:p>
    <w:p>
      <w:pPr>
        <w:pStyle w:val="BodyText"/>
      </w:pPr>
      <w:r>
        <w:t xml:space="preserve">Для стабильной работы виртуальной машины необходимо выделить достаточный объем ресурсов. В настройках системы я устанавливаю объем оперативной памяти 4096 МБ и выбираю подходящий чипсет, что соответствует рекомендациям для лабораторных работ (рис.3).</w:t>
      </w:r>
    </w:p>
    <w:p>
      <w:pPr>
        <w:pStyle w:val="CaptionedFigure"/>
      </w:pPr>
      <w:r>
        <w:drawing>
          <wp:inline>
            <wp:extent cx="3733800" cy="2107462"/>
            <wp:effectExtent b="0" l="0" r="0" t="0"/>
            <wp:docPr descr="Настройка оперативной памяти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7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оперативной памяти</w:t>
      </w:r>
    </w:p>
    <w:p>
      <w:pPr>
        <w:pStyle w:val="BodyText"/>
      </w:pPr>
      <w:r>
        <w:t xml:space="preserve">Критически важным этапом является настройка процессора виртуальной машины. Я активирую опцию Nested VT-x/AMD-V (вложенная виртуализация), которая позволяет GNS3 VM запускать внутри себя другие виртуальные сущности, такие как QEMU-узлы (рис.4).</w:t>
      </w:r>
    </w:p>
    <w:p>
      <w:pPr>
        <w:pStyle w:val="CaptionedFigure"/>
      </w:pPr>
      <w:r>
        <w:drawing>
          <wp:inline>
            <wp:extent cx="3733800" cy="2115598"/>
            <wp:effectExtent b="0" l="0" r="0" t="0"/>
            <wp:docPr descr="Включение вложенной виртуализации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5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Включение вложенной виртуализации</w:t>
      </w:r>
    </w:p>
    <w:p>
      <w:pPr>
        <w:pStyle w:val="BodyText"/>
      </w:pPr>
      <w:r>
        <w:t xml:space="preserve">Настройка сетевого взаимодействия осуществляется через создание приватной сети между хостом и виртуальной машиной. Я выбираю первый адаптер и перевожу его в режим «Виртуальный адаптер хоста», используя интерфейс VirtualBox Host-Only Ethernet Adapter (рис.5).</w:t>
      </w:r>
    </w:p>
    <w:p>
      <w:pPr>
        <w:pStyle w:val="CaptionedFigure"/>
      </w:pPr>
      <w:r>
        <w:drawing>
          <wp:inline>
            <wp:extent cx="3733800" cy="2133600"/>
            <wp:effectExtent b="0" l="0" r="0" t="0"/>
            <wp:docPr descr="Настройка сетевого адаптера VM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сетевого адаптера VM</w:t>
      </w:r>
    </w:p>
    <w:p>
      <w:pPr>
        <w:pStyle w:val="BodyText"/>
      </w:pPr>
      <w:r>
        <w:t xml:space="preserve">Далее я проверяю параметры самой виртуальной сети в менеджере сетей хоста. Убеждаюсь, что адаптер имеет статический IP-адрес 192.168.56.1, который будет служить шлюзом для управления виртуальной машиной (рис.6).</w:t>
      </w:r>
    </w:p>
    <w:p>
      <w:pPr>
        <w:pStyle w:val="CaptionedFigure"/>
      </w:pPr>
      <w:r>
        <w:drawing>
          <wp:inline>
            <wp:extent cx="3733800" cy="3232345"/>
            <wp:effectExtent b="0" l="0" r="0" t="0"/>
            <wp:docPr descr="Параметры адаптера Host-Only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2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Параметры адаптера Host-Only</w:t>
      </w:r>
    </w:p>
    <w:p>
      <w:pPr>
        <w:pStyle w:val="BodyText"/>
      </w:pPr>
      <w:r>
        <w:t xml:space="preserve">Для автоматизации выдачи IP-адресов внутри виртуальной среды я настраиваю DHCP-сервер. Задаю рабочий диапазон адресов от 192.168.56.100 до 192.168.56.254, что исключит конфликты с адресом управления (рис.7).</w:t>
      </w:r>
    </w:p>
    <w:p>
      <w:pPr>
        <w:pStyle w:val="CaptionedFigure"/>
      </w:pPr>
      <w:r>
        <w:drawing>
          <wp:inline>
            <wp:extent cx="3733800" cy="3304781"/>
            <wp:effectExtent b="0" l="0" r="0" t="0"/>
            <wp:docPr descr="Настройка DHCP-сервер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DHCP-сервера</w:t>
      </w:r>
    </w:p>
    <w:p>
      <w:pPr>
        <w:pStyle w:val="BodyText"/>
      </w:pPr>
      <w:r>
        <w:t xml:space="preserve">Запускаю GNS3 VM и контролирую процесс загрузки через консоль VirtualBox. После успешного старта на экране отображается служебная информация, включая IP-адрес 192.168.56.188, назначенный для работы API-сервера GNS3 (рис.8).</w:t>
      </w:r>
    </w:p>
    <w:p>
      <w:pPr>
        <w:pStyle w:val="CaptionedFigure"/>
      </w:pPr>
      <w:r>
        <w:drawing>
          <wp:inline>
            <wp:extent cx="3733800" cy="2786324"/>
            <wp:effectExtent b="0" l="0" r="0" t="0"/>
            <wp:docPr descr="Консоль GNS3 VM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6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Консоль GNS3 VM</w:t>
      </w:r>
    </w:p>
    <w:p>
      <w:pPr>
        <w:pStyle w:val="BodyText"/>
      </w:pPr>
      <w:r>
        <w:t xml:space="preserve">Для подтверждения доступности системы я выполняю вход в консоль виртуальной машины по протоколу SSH. Успешная авторизация пользователя gns3 подтверждает корректную работу операционной системы Ubuntu и готовность серверной части (рис.9).</w:t>
      </w:r>
    </w:p>
    <w:p>
      <w:pPr>
        <w:pStyle w:val="CaptionedFigure"/>
      </w:pPr>
      <w:r>
        <w:drawing>
          <wp:inline>
            <wp:extent cx="3733800" cy="2606142"/>
            <wp:effectExtent b="0" l="0" r="0" t="0"/>
            <wp:docPr descr="Вход в GNS3 VM по SSH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6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Вход в GNS3 VM по SSH</w:t>
      </w:r>
    </w:p>
    <w:p>
      <w:pPr>
        <w:pStyle w:val="BodyText"/>
      </w:pPr>
      <w:r>
        <w:t xml:space="preserve">Теперь необходимо связать клиентское приложение с удаленным сервером. В настройках GNS3 в разделе «Controller» я прописываю IP-адрес виртуальной машины и порт, обеспечивая интеграцию локального интерфейса с мощностями VM (рис.10).</w:t>
      </w:r>
    </w:p>
    <w:p>
      <w:pPr>
        <w:pStyle w:val="CaptionedFigure"/>
      </w:pPr>
      <w:r>
        <w:drawing>
          <wp:inline>
            <wp:extent cx="3733800" cy="2258060"/>
            <wp:effectExtent b="0" l="0" r="0" t="0"/>
            <wp:docPr descr="Настройка удаленного контроллер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удаленного контроллера</w:t>
      </w:r>
    </w:p>
    <w:p>
      <w:pPr>
        <w:pStyle w:val="BodyText"/>
      </w:pPr>
      <w:r>
        <w:t xml:space="preserve">Для удобства взаимодействия с сетевыми устройствами я настраиваю внешнее консольное приложение. Выбираю PuTTY (puffy_standalone.exe) в качестве терминала по умолчанию для всех Telnet-сессий внутри проектов (рис.11).</w:t>
      </w:r>
    </w:p>
    <w:p>
      <w:pPr>
        <w:pStyle w:val="CaptionedFigure"/>
      </w:pPr>
      <w:r>
        <w:drawing>
          <wp:inline>
            <wp:extent cx="3733800" cy="2364740"/>
            <wp:effectExtent b="0" l="0" r="0" t="0"/>
            <wp:docPr descr="Настройка консольного приложения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консольного приложения</w:t>
      </w:r>
    </w:p>
    <w:p>
      <w:pPr>
        <w:pStyle w:val="BodyText"/>
      </w:pPr>
      <w:r>
        <w:t xml:space="preserve">Перехожу к импорту образов сетевого оборудования, начиная с FRRouting. Используя мастер создания шаблонов, я нахожу образ «FRR» в категории маршрутизаторов, который будет использоваться в качестве базового узла (рис.12).</w:t>
      </w:r>
    </w:p>
    <w:p>
      <w:pPr>
        <w:pStyle w:val="CaptionedFigure"/>
      </w:pPr>
      <w:r>
        <w:drawing>
          <wp:inline>
            <wp:extent cx="3733800" cy="2742525"/>
            <wp:effectExtent b="0" l="0" r="0" t="0"/>
            <wp:docPr descr="Выбор устройства FRR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2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Выбор устройства FRR</w:t>
      </w:r>
    </w:p>
    <w:p>
      <w:pPr>
        <w:pStyle w:val="BodyText"/>
      </w:pPr>
      <w:r>
        <w:t xml:space="preserve">Система предлагает список доступных версий программного обеспечения. Я выбираю версию 8.2.2, которая помечена как готовая к установке («Ready to install»), что означает наличие всех необходимых бинарных файлов на сервере (рис.13).</w:t>
      </w:r>
    </w:p>
    <w:p>
      <w:pPr>
        <w:pStyle w:val="CaptionedFigure"/>
      </w:pPr>
      <w:r>
        <w:drawing>
          <wp:inline>
            <wp:extent cx="3551722" cy="2550694"/>
            <wp:effectExtent b="0" l="0" r="0" t="0"/>
            <wp:docPr descr="Выбор версии FRR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722" cy="255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Выбор версии FRR</w:t>
      </w:r>
    </w:p>
    <w:p>
      <w:pPr>
        <w:pStyle w:val="BodyText"/>
      </w:pPr>
      <w:r>
        <w:t xml:space="preserve">В общих настройках шаблона FRR я задаю параметры потребления ресурсов. Важным пунктом является выбор сигнала ACPI для корректного выключения устройства, что предотвратит потерю данных при закрытии проекта (рис.14).</w:t>
      </w:r>
    </w:p>
    <w:p>
      <w:pPr>
        <w:pStyle w:val="CaptionedFigure"/>
      </w:pPr>
      <w:r>
        <w:drawing>
          <wp:inline>
            <wp:extent cx="3070458" cy="3753852"/>
            <wp:effectExtent b="0" l="0" r="0" t="0"/>
            <wp:docPr descr="Настройка параметров шаблона FRR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458" cy="3753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параметров шаблона FRR</w:t>
      </w:r>
    </w:p>
    <w:p>
      <w:pPr>
        <w:pStyle w:val="BodyText"/>
      </w:pPr>
      <w:r>
        <w:t xml:space="preserve">Завершаю настройку хранилища для FRR, указывая путь к виртуальному диску. Активирую опцию автоматического создания конфигурационного диска, чтобы все изменения в настройках маршрутизатора сохранялись между запусками (рис.15).</w:t>
      </w:r>
    </w:p>
    <w:p>
      <w:pPr>
        <w:pStyle w:val="CaptionedFigure"/>
      </w:pPr>
      <w:r>
        <w:drawing>
          <wp:inline>
            <wp:extent cx="2800951" cy="3667225"/>
            <wp:effectExtent b="0" l="0" r="0" t="0"/>
            <wp:docPr descr="Настройка виртуального диска FRR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51" cy="3667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виртуального диска FRR</w:t>
      </w:r>
    </w:p>
    <w:p>
      <w:pPr>
        <w:pStyle w:val="BodyText"/>
      </w:pPr>
      <w:r>
        <w:t xml:space="preserve">Следующим шагом я добавляю образ маршрутизатора VyOS. В мастере выбора файлов я указываю версию 1.3.3 и убеждаюсь, что файл образа .qcow2 успешно распознан контроллером GNS3 (рис.16).</w:t>
      </w:r>
    </w:p>
    <w:p>
      <w:pPr>
        <w:pStyle w:val="CaptionedFigure"/>
      </w:pPr>
      <w:r>
        <w:drawing>
          <wp:inline>
            <wp:extent cx="3301465" cy="798896"/>
            <wp:effectExtent b="0" l="0" r="0" t="0"/>
            <wp:docPr descr="Выбор версии VyOS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465" cy="798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Выбор версии VyOS</w:t>
      </w:r>
    </w:p>
    <w:p>
      <w:pPr>
        <w:pStyle w:val="BodyText"/>
      </w:pPr>
      <w:r>
        <w:t xml:space="preserve">Запускается процесс импорта файлов VyOS в библиотеку шаблонов. На этом этапе происходит физическое копирование тяжелых образов дисков (таких как vyos-1.3.3-tvm-amd64.qcow2) в хранилище виртуальной машины (рис.17).</w:t>
      </w:r>
    </w:p>
    <w:p>
      <w:pPr>
        <w:pStyle w:val="CaptionedFigure"/>
      </w:pPr>
      <w:r>
        <w:drawing>
          <wp:inline>
            <wp:extent cx="1472665" cy="1588168"/>
            <wp:effectExtent b="0" l="0" r="0" t="0"/>
            <wp:docPr descr="Импорт файлов VyOS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665" cy="1588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Импорт файлов VyOS</w:t>
      </w:r>
    </w:p>
    <w:p>
      <w:pPr>
        <w:pStyle w:val="BodyText"/>
      </w:pPr>
      <w:r>
        <w:t xml:space="preserve">Для маршрутизатора VyOS я выделяю 1024 МБ оперативной памяти и 1 виртуальное ядро процессора. Как и для предыдущего устройства, настраиваю корректное завершение работы через ACPI-сигнал (рис.18).</w:t>
      </w:r>
    </w:p>
    <w:p>
      <w:pPr>
        <w:pStyle w:val="CaptionedFigure"/>
      </w:pPr>
      <w:r>
        <w:drawing>
          <wp:inline>
            <wp:extent cx="2752825" cy="2887578"/>
            <wp:effectExtent b="0" l="0" r="0" t="0"/>
            <wp:docPr descr="Настройка ресурсов VyOS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825" cy="2887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ресурсов VyOS</w:t>
      </w:r>
    </w:p>
    <w:p>
      <w:pPr>
        <w:pStyle w:val="BodyText"/>
      </w:pPr>
      <w:r>
        <w:t xml:space="preserve">В финальной вкладке настроек HDD для VyOS я подтверждаю использование основного образа и включаю функцию автоматического создания config-диска, завершая тем самым подготовку экспериментального стенда (рис.19).</w:t>
      </w:r>
    </w:p>
    <w:p>
      <w:pPr>
        <w:pStyle w:val="CaptionedFigure"/>
      </w:pPr>
      <w:r>
        <w:drawing>
          <wp:inline>
            <wp:extent cx="2868328" cy="3224463"/>
            <wp:effectExtent b="0" l="0" r="0" t="0"/>
            <wp:docPr descr="Настройка диска VyOS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328" cy="3224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Настройка диска VyOS</w:t>
      </w:r>
    </w:p>
    <w:bookmarkEnd w:id="79"/>
    <w:bookmarkStart w:id="8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я приобрел практические навыки установки и развертывания среды эмуляции сетевых устройств GNS3. Мною были изучены основы настройки вложенной виртуализации в VirtualBox, принципы работы клиент-серверной архитектуры GNS3 и методы импорта образов сетевых ОС (FRR, VyOS). Данная база необходима для дальнейшего проектирования и тестирования сложных сетевых топологий.</w:t>
      </w:r>
    </w:p>
    <w:bookmarkEnd w:id="80"/>
    <w:bookmarkStart w:id="81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Что такое GNS3?</w:t>
      </w:r>
      <w:r>
        <w:t xml:space="preserve"> </w:t>
      </w:r>
      <w:r>
        <w:t xml:space="preserve">GNS3 (Graphical Network Simulator-3) — это программное обеспечение с открытым исходным кодом, предназначенное для графического моделирования и эмуляции компьютерных сетей любой сложности.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Чем эмуляция отличается от имитации?</w:t>
      </w:r>
      <w:r>
        <w:t xml:space="preserve"> </w:t>
      </w:r>
      <w:r>
        <w:t xml:space="preserve">Эмуляция подразумевает запуск реального бинарного кода сетевой ОС на виртуальном оборудовании (например, через QEMU), в то время как имитация (моделирование) лишь воспроизводит логику работы протоколов без использования реальной системы.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Перечислите основные компоненты GNS3.</w:t>
      </w:r>
      <w:r>
        <w:t xml:space="preserve"> </w:t>
      </w:r>
      <w:r>
        <w:t xml:space="preserve">GNS3 состоит из клиентского приложения (GUI), сервера управления (GNS3 Server/VM) и различных движков виртуализации (QEMU, Docker, Dynamips, VPCS).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Зачем нужна вложенная виртуализация (Nested Virtualization)?</w:t>
      </w:r>
      <w:r>
        <w:t xml:space="preserve"> </w:t>
      </w:r>
      <w:r>
        <w:t xml:space="preserve">Она необходима для того, чтобы виртуальная машина GNS3 VM могла использовать аппаратное ускорение KVM для запуска других виртуальных машин (узлов сети) внутри себя, что значительно повышает производительность.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Каким образом обеспечивается сохранение конфигурации устройств?</w:t>
      </w:r>
      <w:r>
        <w:t xml:space="preserve"> </w:t>
      </w:r>
      <w:r>
        <w:t xml:space="preserve">Сохранение обеспечивается использованием специальных конфигурационных дисков (Config Disk), которые GNS3 автоматически создает и подключает к виртуальным узлам.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Лисовская Арина Валерьевна</dc:creator>
  <dc:language>ru-RU</dc:language>
  <cp:keywords/>
  <dcterms:created xsi:type="dcterms:W3CDTF">2026-02-01T21:11:36Z</dcterms:created>
  <dcterms:modified xsi:type="dcterms:W3CDTF">2026-02-01T21:11:36Z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List of Tables</vt:lpwstr>
  </property>
  <property fmtid="{D5CDD505-2E9C-101B-9397-08002B2CF9AE}" pid="55" name="lot_title">
    <vt:lpwstr>Список таблиц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PT Serif</vt:lpwstr>
  </property>
  <property fmtid="{D5CDD505-2E9C-101B-9397-08002B2CF9AE}" pid="60" name="mainfontoptions">
    <vt:lpwstr>Ligatures=TeX</vt:lpwstr>
  </property>
  <property fmtid="{D5CDD505-2E9C-101B-9397-08002B2CF9AE}" pid="61" name="monofont">
    <vt:lpwstr>PT Mono</vt:lpwstr>
  </property>
  <property fmtid="{D5CDD505-2E9C-101B-9397-08002B2CF9AE}" pid="62" name="monofontoptions">
    <vt:lpwstr>Scale=MatchLowercase,Scale=0.9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PT Serif</vt:lpwstr>
  </property>
  <property fmtid="{D5CDD505-2E9C-101B-9397-08002B2CF9AE}" pid="73" name="romanfontoptions">
    <vt:lpwstr>Ligatures=TeX</vt:lpwstr>
  </property>
  <property fmtid="{D5CDD505-2E9C-101B-9397-08002B2CF9AE}" pid="74" name="sansfont">
    <vt:lpwstr>PT Sans</vt:lpwstr>
  </property>
  <property fmtid="{D5CDD505-2E9C-101B-9397-08002B2CF9AE}" pid="75" name="sansfontoptions">
    <vt:lpwstr>Ligatures=TeX,Scale=MatchLowercase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Отчет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