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5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Адресация</w:t>
      </w:r>
      <w:r>
        <w:t xml:space="preserve"> </w:t>
      </w:r>
      <w:r>
        <w:t xml:space="preserve">IPv4</w:t>
      </w:r>
      <w:r>
        <w:t xml:space="preserve"> </w:t>
      </w:r>
      <w:r>
        <w:t xml:space="preserve">и</w:t>
      </w:r>
      <w:r>
        <w:t xml:space="preserve"> </w:t>
      </w:r>
      <w:r>
        <w:t xml:space="preserve">IPv6.</w:t>
      </w:r>
      <w:r>
        <w:t xml:space="preserve"> </w:t>
      </w:r>
      <w:r>
        <w:t xml:space="preserve">Двойной</w:t>
      </w:r>
      <w:r>
        <w:t xml:space="preserve"> </w:t>
      </w:r>
      <w:r>
        <w:t xml:space="preserve">стек</w:t>
      </w:r>
    </w:p>
    <w:p>
      <w:pPr>
        <w:pStyle w:val="Author"/>
      </w:pPr>
      <w:r>
        <w:t xml:space="preserve">Лисовская</w:t>
      </w:r>
      <w:r>
        <w:t xml:space="preserve"> </w:t>
      </w:r>
      <w:r>
        <w:t xml:space="preserve">Арина</w:t>
      </w:r>
      <w:r>
        <w:t xml:space="preserve"> </w:t>
      </w:r>
      <w:r>
        <w:t xml:space="preserve">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принципов распределения и настройки адресного пространства на устройствах сети, а также освоение технологий работы с протоколами IPv4 и IPv6 в режиме двойного стека.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Создать сетевую топологию в среде моделирования GNS3.</w:t>
      </w:r>
    </w:p>
    <w:p>
      <w:pPr>
        <w:numPr>
          <w:ilvl w:val="0"/>
          <w:numId w:val="1001"/>
        </w:numPr>
        <w:pStyle w:val="Compact"/>
      </w:pPr>
      <w:r>
        <w:t xml:space="preserve">Выполнить настройку IPv4-адресации на оконечных узлах и сервере.</w:t>
      </w:r>
    </w:p>
    <w:p>
      <w:pPr>
        <w:numPr>
          <w:ilvl w:val="0"/>
          <w:numId w:val="1001"/>
        </w:numPr>
        <w:pStyle w:val="Compact"/>
      </w:pPr>
      <w:r>
        <w:t xml:space="preserve">Настроить сетевые интерфейсы маршрутизатора FRR для работы с несколькими подсетями и внешним каналом.</w:t>
      </w:r>
    </w:p>
    <w:p>
      <w:pPr>
        <w:numPr>
          <w:ilvl w:val="0"/>
          <w:numId w:val="1001"/>
        </w:numPr>
        <w:pStyle w:val="Compact"/>
      </w:pPr>
      <w:r>
        <w:t xml:space="preserve">Проверить связность сети с помощью утилит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для локальных и внешних адресов.</w:t>
      </w:r>
    </w:p>
    <w:p>
      <w:pPr>
        <w:numPr>
          <w:ilvl w:val="0"/>
          <w:numId w:val="1001"/>
        </w:numPr>
        <w:pStyle w:val="Compact"/>
      </w:pPr>
      <w:r>
        <w:t xml:space="preserve">Изучить механизмы работы IPv6 и проанализировать трафик (ARP, ICMP, NDP).</w:t>
      </w:r>
    </w:p>
    <w:bookmarkEnd w:id="21"/>
    <w:bookmarkStart w:id="103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начале работы я создала топологию сети в GNS3, включающую маршрутизаторы, коммутаторы и оконечные узлы. Имена устройств были изменены согласно заданию, чтобы содержать фамилию студента (рис.1).</w:t>
      </w:r>
    </w:p>
    <w:p>
      <w:pPr>
        <w:pStyle w:val="CaptionedFigure"/>
      </w:pPr>
      <w:r>
        <w:drawing>
          <wp:inline>
            <wp:extent cx="3733800" cy="3351869"/>
            <wp:effectExtent b="0" l="0" r="0" t="0"/>
            <wp:docPr descr="Топология сети в GNS3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51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Топология сети в GNS3</w:t>
      </w:r>
    </w:p>
    <w:p>
      <w:pPr>
        <w:pStyle w:val="BodyText"/>
      </w:pPr>
      <w:r>
        <w:t xml:space="preserve">Для настройки первого персонального компьютера PC1 я использовала консоль VPCS. Я присвоила узлу статический IPv4-адрес 172.16.20.10 с маской /25 и указала адрес шлюза 172.16.20.1 (рис.2).</w:t>
      </w:r>
    </w:p>
    <w:p>
      <w:pPr>
        <w:pStyle w:val="CaptionedFigure"/>
      </w:pPr>
      <w:r>
        <w:drawing>
          <wp:inline>
            <wp:extent cx="3733800" cy="646234"/>
            <wp:effectExtent b="0" l="0" r="0" t="0"/>
            <wp:docPr descr="Настройка IPv4 на PC1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6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Настройка IPv4 на PC1</w:t>
      </w:r>
    </w:p>
    <w:p>
      <w:pPr>
        <w:pStyle w:val="BodyText"/>
      </w:pPr>
      <w:r>
        <w:t xml:space="preserve">Затем была произведена аналогичная настройка для второго компьютера PC2. Ему был назначен адрес 172.16.20.138/25, при этом в качестве шлюза указан адрес 172.16.20.129, соответствующий его сегменту сети (рис.3).</w:t>
      </w:r>
    </w:p>
    <w:p>
      <w:pPr>
        <w:pStyle w:val="CaptionedFigure"/>
      </w:pPr>
      <w:r>
        <w:drawing>
          <wp:inline>
            <wp:extent cx="3733800" cy="910682"/>
            <wp:effectExtent b="0" l="0" r="0" t="0"/>
            <wp:docPr descr="Настройка IPv4 на PC2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0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IPv4 на PC2</w:t>
      </w:r>
    </w:p>
    <w:p>
      <w:pPr>
        <w:pStyle w:val="BodyText"/>
      </w:pPr>
      <w:r>
        <w:t xml:space="preserve">Далее я приступила к конфигурации маршрутизатора msk-avlisovskaya-gw-01 через терминал PuTTY. Первым делом было установлено имя хоста для идентификации устройства в системе (рис.4).</w:t>
      </w:r>
    </w:p>
    <w:p>
      <w:pPr>
        <w:pStyle w:val="CaptionedFigure"/>
      </w:pPr>
      <w:r>
        <w:drawing>
          <wp:inline>
            <wp:extent cx="3733800" cy="2460654"/>
            <wp:effectExtent b="0" l="0" r="0" t="0"/>
            <wp:docPr descr="Установка имени маршрутизатора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0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Установка имени маршрутизатора</w:t>
      </w:r>
    </w:p>
    <w:p>
      <w:pPr>
        <w:pStyle w:val="BodyText"/>
      </w:pPr>
      <w:r>
        <w:t xml:space="preserve">На интерфейсе eth0 маршрутизатора я настроила IP-адрес 172.16.20.1/25. Этот интерфейс служит шлюзом по умолчанию для первой подсети, где находится PC1 (рис.5).</w:t>
      </w:r>
    </w:p>
    <w:p>
      <w:pPr>
        <w:pStyle w:val="CaptionedFigure"/>
      </w:pPr>
      <w:r>
        <w:drawing>
          <wp:inline>
            <wp:extent cx="3733800" cy="1457256"/>
            <wp:effectExtent b="0" l="0" r="0" t="0"/>
            <wp:docPr descr="Настройка интерфейса eth0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7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интерфейса eth0</w:t>
      </w:r>
    </w:p>
    <w:p>
      <w:pPr>
        <w:pStyle w:val="BodyText"/>
      </w:pPr>
      <w:r>
        <w:t xml:space="preserve">Для обслуживания второй подсети я настроила интерфейс eth1, присвоив ему адрес 172.16.20.129/25. Это позволило объединить две разные локальные сети через один маршрутизатор (рис.6).</w:t>
      </w:r>
    </w:p>
    <w:p>
      <w:pPr>
        <w:pStyle w:val="CaptionedFigure"/>
      </w:pPr>
      <w:r>
        <w:drawing>
          <wp:inline>
            <wp:extent cx="3733800" cy="1807159"/>
            <wp:effectExtent b="0" l="0" r="0" t="0"/>
            <wp:docPr descr="Настройка интерфейса eth1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7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интерфейса eth1</w:t>
      </w:r>
    </w:p>
    <w:p>
      <w:pPr>
        <w:pStyle w:val="BodyText"/>
      </w:pPr>
      <w:r>
        <w:t xml:space="preserve">Внешний интерфейс eth2 был настроен с адресом 64.100.1.1/24. Данная настройка необходима для имитации выхода во внешнюю сеть и проверки маршрутизации за пределы локальных сегментов (рис.7).</w:t>
      </w:r>
    </w:p>
    <w:p>
      <w:pPr>
        <w:pStyle w:val="CaptionedFigure"/>
      </w:pPr>
      <w:r>
        <w:drawing>
          <wp:inline>
            <wp:extent cx="3733800" cy="3008174"/>
            <wp:effectExtent b="0" l="0" r="0" t="0"/>
            <wp:docPr descr="Настройка внешнего интерфейса eth2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8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Настройка внешнего интерфейса eth2</w:t>
      </w:r>
    </w:p>
    <w:p>
      <w:pPr>
        <w:pStyle w:val="BodyText"/>
      </w:pPr>
      <w:r>
        <w:t xml:space="preserve">После ввода всех параметров я выполнила проверку текущей конфигурации маршрутизатора. Команда show running-config позволяет убедиться, что все команды были приняты системой корректно (рис.8).</w:t>
      </w:r>
    </w:p>
    <w:p>
      <w:pPr>
        <w:pStyle w:val="CaptionedFigure"/>
      </w:pPr>
      <w:r>
        <w:drawing>
          <wp:inline>
            <wp:extent cx="3733800" cy="2978727"/>
            <wp:effectExtent b="0" l="0" r="0" t="0"/>
            <wp:docPr descr="Проверка текущей конфигурации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8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Проверка текущей конфигурации</w:t>
      </w:r>
    </w:p>
    <w:p>
      <w:pPr>
        <w:pStyle w:val="BodyText"/>
      </w:pPr>
      <w:r>
        <w:t xml:space="preserve">Для окончательной верификации состояния портов я использовала команду show interface brief. На скриншоте видно, что все настроенные интерфейсы находятся в статусе</w:t>
      </w:r>
      <w:r>
        <w:t xml:space="preserve"> </w:t>
      </w:r>
      <w:r>
        <w:t xml:space="preserve">“</w:t>
      </w:r>
      <w:r>
        <w:t xml:space="preserve">up</w:t>
      </w:r>
      <w:r>
        <w:t xml:space="preserve">”</w:t>
      </w:r>
      <w:r>
        <w:t xml:space="preserve"> </w:t>
      </w:r>
      <w:r>
        <w:t xml:space="preserve">(рис.9).</w:t>
      </w:r>
    </w:p>
    <w:p>
      <w:pPr>
        <w:pStyle w:val="CaptionedFigure"/>
      </w:pPr>
      <w:r>
        <w:drawing>
          <wp:inline>
            <wp:extent cx="3733800" cy="3072299"/>
            <wp:effectExtent b="0" l="0" r="0" t="0"/>
            <wp:docPr descr="Статус интерфейсов маршрутизатора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2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Статус интерфейсов маршрутизатора</w:t>
      </w:r>
    </w:p>
    <w:p>
      <w:pPr>
        <w:pStyle w:val="BodyText"/>
      </w:pPr>
      <w:r>
        <w:t xml:space="preserve">Проверка настроек на стороне клиента PC1 подтвердила успешное применение параметров. Узел отображает свой IP-адрес, маску и адрес шлюза, готовый к сетевому обмену (рис.10).</w:t>
      </w:r>
    </w:p>
    <w:p>
      <w:pPr>
        <w:pStyle w:val="CaptionedFigure"/>
      </w:pPr>
      <w:r>
        <w:drawing>
          <wp:inline>
            <wp:extent cx="3733800" cy="3090041"/>
            <wp:effectExtent b="0" l="0" r="0" t="0"/>
            <wp:docPr descr="Параметры IP на PC1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0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Параметры IP на PC1</w:t>
      </w:r>
    </w:p>
    <w:p>
      <w:pPr>
        <w:pStyle w:val="BodyText"/>
      </w:pPr>
      <w:r>
        <w:t xml:space="preserve">При проверке IPv6 на PC1 был обнаружен автоматически сформированный Link-Local адрес. Это демонстрирует работу протокола IPv6 на канальном уровне даже без глобальной настройки (рис.11).</w:t>
      </w:r>
    </w:p>
    <w:p>
      <w:pPr>
        <w:pStyle w:val="CaptionedFigure"/>
      </w:pPr>
      <w:r>
        <w:drawing>
          <wp:inline>
            <wp:extent cx="3733800" cy="3125108"/>
            <wp:effectExtent b="0" l="0" r="0" t="0"/>
            <wp:docPr descr="IPv6 информация на PC1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5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IPv6 информация на PC1</w:t>
      </w:r>
    </w:p>
    <w:p>
      <w:pPr>
        <w:pStyle w:val="BodyText"/>
      </w:pPr>
      <w:r>
        <w:t xml:space="preserve">Первый тест связности между подсетями был проведен с PC1 на PC2. Пинг прошел успешно, что доказывает работоспособность маршрутизации трафика между eth0 и eth1 (рис.12).</w:t>
      </w:r>
    </w:p>
    <w:p>
      <w:pPr>
        <w:pStyle w:val="CaptionedFigure"/>
      </w:pPr>
      <w:r>
        <w:drawing>
          <wp:inline>
            <wp:extent cx="3733800" cy="3409502"/>
            <wp:effectExtent b="0" l="0" r="0" t="0"/>
            <wp:docPr descr="Пинг между подсетями (PC1-PC2)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9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Пинг между подсетями (PC1-PC2)</w:t>
      </w:r>
    </w:p>
    <w:p>
      <w:pPr>
        <w:pStyle w:val="BodyText"/>
      </w:pPr>
      <w:r>
        <w:t xml:space="preserve">Также была проверена доступность локального шлюза 172.16.20.1. Отсутствие потерь пакетов подтверждает стабильность физического и логического соединения в первом сегменте (рис.13).</w:t>
      </w:r>
    </w:p>
    <w:p>
      <w:pPr>
        <w:pStyle w:val="CaptionedFigure"/>
      </w:pPr>
      <w:r>
        <w:drawing>
          <wp:inline>
            <wp:extent cx="3733800" cy="2972397"/>
            <wp:effectExtent b="0" l="0" r="0" t="0"/>
            <wp:docPr descr="Проверка связи со шлюзом на PC1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2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Проверка связи со шлюзом на PC1</w:t>
      </w:r>
    </w:p>
    <w:p>
      <w:pPr>
        <w:pStyle w:val="BodyText"/>
      </w:pPr>
      <w:r>
        <w:t xml:space="preserve">Для проверки выхода во внешнюю сеть я пропинговала узел 64.100.1.10. Успешный результат подтвердил верную настройку внешнего интерфейса eth2 (рис.14).</w:t>
      </w:r>
    </w:p>
    <w:p>
      <w:pPr>
        <w:pStyle w:val="CaptionedFigure"/>
      </w:pPr>
      <w:r>
        <w:drawing>
          <wp:inline>
            <wp:extent cx="3733800" cy="3149700"/>
            <wp:effectExtent b="0" l="0" r="0" t="0"/>
            <wp:docPr descr="Пинг внешней сети с PC1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Пинг внешней сети с PC1</w:t>
      </w:r>
    </w:p>
    <w:p>
      <w:pPr>
        <w:pStyle w:val="BodyText"/>
      </w:pPr>
      <w:r>
        <w:t xml:space="preserve">На узле PC2 я выполнила сохранение конфигурации. Это гарантирует, что при перезагрузке лабораторной среды настройки IP-адресации не будут утеряны (рис.15).</w:t>
      </w:r>
    </w:p>
    <w:p>
      <w:pPr>
        <w:pStyle w:val="CaptionedFigure"/>
      </w:pPr>
      <w:r>
        <w:drawing>
          <wp:inline>
            <wp:extent cx="3733800" cy="3008375"/>
            <wp:effectExtent b="0" l="0" r="0" t="0"/>
            <wp:docPr descr="Сохранение данных на PC2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8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Сохранение данных на PC2</w:t>
      </w:r>
    </w:p>
    <w:p>
      <w:pPr>
        <w:pStyle w:val="BodyText"/>
      </w:pPr>
      <w:r>
        <w:t xml:space="preserve">Обратная проверка связи от PC2 к PC1 также показала положительный результат. Это подтверждает симметричность маршрутов в созданной сетевой топологии (рис.16).</w:t>
      </w:r>
    </w:p>
    <w:p>
      <w:pPr>
        <w:pStyle w:val="CaptionedFigure"/>
      </w:pPr>
      <w:r>
        <w:drawing>
          <wp:inline>
            <wp:extent cx="3733800" cy="3126316"/>
            <wp:effectExtent b="0" l="0" r="0" t="0"/>
            <wp:docPr descr="Пинг от PC2 к PC1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6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Пинг от PC2 к PC1</w:t>
      </w:r>
    </w:p>
    <w:p>
      <w:pPr>
        <w:pStyle w:val="BodyText"/>
      </w:pPr>
      <w:r>
        <w:t xml:space="preserve">Пинг собственного шлюза (172.16.20.129) со стороны PC2 прошел без задержек. Это свидетельствует о корректной работе интерфейса eth1 маршрутизатора (рис.17).</w:t>
      </w:r>
    </w:p>
    <w:p>
      <w:pPr>
        <w:pStyle w:val="CaptionedFigure"/>
      </w:pPr>
      <w:r>
        <w:drawing>
          <wp:inline>
            <wp:extent cx="3733800" cy="2504518"/>
            <wp:effectExtent b="0" l="0" r="0" t="0"/>
            <wp:docPr descr="Связь со шлюзом на PC2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4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Связь со шлюзом на PC2</w:t>
      </w:r>
    </w:p>
    <w:p>
      <w:pPr>
        <w:pStyle w:val="BodyText"/>
      </w:pPr>
      <w:r>
        <w:t xml:space="preserve">Проверка доступа к внешнему миру с PC2 завершилась успехом. Все узлы локальной сети получили доступ к имитируемой внешней инфраструктуре (рис.18).</w:t>
      </w:r>
    </w:p>
    <w:p>
      <w:pPr>
        <w:pStyle w:val="CaptionedFigure"/>
      </w:pPr>
      <w:r>
        <w:drawing>
          <wp:inline>
            <wp:extent cx="3733800" cy="3939159"/>
            <wp:effectExtent b="0" l="0" r="0" t="0"/>
            <wp:docPr descr="Внешний пинг с PC2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39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Внешний пинг с PC2</w:t>
      </w:r>
    </w:p>
    <w:p>
      <w:pPr>
        <w:pStyle w:val="BodyText"/>
      </w:pPr>
      <w:r>
        <w:t xml:space="preserve">На сервере также была сохранена конфигурация после настройки. Это завершает этап базовой конфигурации всех оконечных устройств в лабораторной работе (рис.19).</w:t>
      </w:r>
    </w:p>
    <w:p>
      <w:pPr>
        <w:pStyle w:val="CaptionedFigure"/>
      </w:pPr>
      <w:r>
        <w:drawing>
          <wp:inline>
            <wp:extent cx="3733800" cy="3046189"/>
            <wp:effectExtent b="0" l="0" r="0" t="0"/>
            <wp:docPr descr="Сохранение настроек сервера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6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Сохранение настроек сервера</w:t>
      </w:r>
    </w:p>
    <w:p>
      <w:pPr>
        <w:pStyle w:val="BodyText"/>
      </w:pPr>
      <w:r>
        <w:t xml:space="preserve">Тест доступности PC1 с сервера показал стабильную связь. Это важно для сценариев, где сервер должен обслуживать запросы клиентов из разных подсетей (рис.20).</w:t>
      </w:r>
    </w:p>
    <w:p>
      <w:pPr>
        <w:pStyle w:val="CaptionedFigure"/>
      </w:pPr>
      <w:r>
        <w:drawing>
          <wp:inline>
            <wp:extent cx="3733800" cy="3188665"/>
            <wp:effectExtent b="0" l="0" r="0" t="0"/>
            <wp:docPr descr="Связь Сервер -&gt; PC1" title="" id="80" name="Picture"/>
            <a:graphic>
              <a:graphicData uri="http://schemas.openxmlformats.org/drawingml/2006/picture">
                <pic:pic>
                  <pic:nvPicPr>
                    <pic:cNvPr descr="image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8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Связь Сервер -&gt; PC1</w:t>
      </w:r>
    </w:p>
    <w:p>
      <w:pPr>
        <w:pStyle w:val="BodyText"/>
      </w:pPr>
      <w:r>
        <w:t xml:space="preserve">Связь сервера со вторым компьютером PC2 также была подтверждена. Сеть полностью прозрачна для трафика между любыми оконечными точками (рис.21).</w:t>
      </w:r>
    </w:p>
    <w:p>
      <w:pPr>
        <w:pStyle w:val="CaptionedFigure"/>
      </w:pPr>
      <w:r>
        <w:drawing>
          <wp:inline>
            <wp:extent cx="3733800" cy="3049029"/>
            <wp:effectExtent b="0" l="0" r="0" t="0"/>
            <wp:docPr descr="Связь Сервер -&gt; PC2" title="" id="83" name="Picture"/>
            <a:graphic>
              <a:graphicData uri="http://schemas.openxmlformats.org/drawingml/2006/picture">
                <pic:pic>
                  <pic:nvPicPr>
                    <pic:cNvPr descr="image/2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9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Связь Сервер -&gt; PC2</w:t>
      </w:r>
    </w:p>
    <w:p>
      <w:pPr>
        <w:pStyle w:val="BodyText"/>
      </w:pPr>
      <w:r>
        <w:t xml:space="preserve">Финальный тест связи сервера с внешним узлом 64.100.1.10 прошел успешно. Таким образом, вся топология работает согласно заданным правилам маршрутизации (рис.22).</w:t>
      </w:r>
    </w:p>
    <w:p>
      <w:pPr>
        <w:pStyle w:val="CaptionedFigure"/>
      </w:pPr>
      <w:r>
        <w:drawing>
          <wp:inline>
            <wp:extent cx="3733800" cy="1381759"/>
            <wp:effectExtent b="0" l="0" r="0" t="0"/>
            <wp:docPr descr="Внешняя связь сервера" title="" id="86" name="Picture"/>
            <a:graphic>
              <a:graphicData uri="http://schemas.openxmlformats.org/drawingml/2006/picture">
                <pic:pic>
                  <pic:nvPicPr>
                    <pic:cNvPr descr="image/2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1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Внешняя связь сервера</w:t>
      </w:r>
    </w:p>
    <w:p>
      <w:pPr>
        <w:pStyle w:val="BodyText"/>
      </w:pPr>
      <w:r>
        <w:t xml:space="preserve">Начиная детальный анализ трафика, я зафиксировала процесс разрешения адресов. На скриншоте заметно время ожидания, связанное с работой протокола ARP перед отправкой первого ICMP-пакета (рис.23).</w:t>
      </w:r>
    </w:p>
    <w:p>
      <w:pPr>
        <w:pStyle w:val="CaptionedFigure"/>
      </w:pPr>
      <w:r>
        <w:drawing>
          <wp:inline>
            <wp:extent cx="3733800" cy="1077057"/>
            <wp:effectExtent b="0" l="0" r="0" t="0"/>
            <wp:docPr descr="Анализ начала сетевого обмена" title="" id="89" name="Picture"/>
            <a:graphic>
              <a:graphicData uri="http://schemas.openxmlformats.org/drawingml/2006/picture">
                <pic:pic>
                  <pic:nvPicPr>
                    <pic:cNvPr descr="image/2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7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Анализ начала сетевого обмена</w:t>
      </w:r>
    </w:p>
    <w:p>
      <w:pPr>
        <w:pStyle w:val="BodyText"/>
      </w:pPr>
      <w:r>
        <w:t xml:space="preserve">В деталях ICMP-ответов я проанализировала поле TTL. Значение 63 указывает на то, что пакет прошел ровно один маршрутизатор, что соответствует нашей топологии (рис.24).</w:t>
      </w:r>
    </w:p>
    <w:p>
      <w:pPr>
        <w:pStyle w:val="CaptionedFigure"/>
      </w:pPr>
      <w:r>
        <w:drawing>
          <wp:inline>
            <wp:extent cx="3733800" cy="494579"/>
            <wp:effectExtent b="0" l="0" r="0" t="0"/>
            <wp:docPr descr="Анализ ICMP и TTL" title="" id="92" name="Picture"/>
            <a:graphic>
              <a:graphicData uri="http://schemas.openxmlformats.org/drawingml/2006/picture">
                <pic:pic>
                  <pic:nvPicPr>
                    <pic:cNvPr descr="image/24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4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Анализ ICMP и TTL</w:t>
      </w:r>
    </w:p>
    <w:p>
      <w:pPr>
        <w:pStyle w:val="BodyText"/>
      </w:pPr>
      <w:r>
        <w:t xml:space="preserve">Особое внимание было уделено работе IPv6 в режиме двойного стека. Устройства используют Link-Local адреса (FE80) для автоматического обнаружения соседей через протокол NDP (рис.25).</w:t>
      </w:r>
    </w:p>
    <w:p>
      <w:pPr>
        <w:pStyle w:val="CaptionedFigure"/>
      </w:pPr>
      <w:r>
        <w:drawing>
          <wp:inline>
            <wp:extent cx="3733800" cy="2418353"/>
            <wp:effectExtent b="0" l="0" r="0" t="0"/>
            <wp:docPr descr="Механизмы NDP в IPv6" title="" id="95" name="Picture"/>
            <a:graphic>
              <a:graphicData uri="http://schemas.openxmlformats.org/drawingml/2006/picture">
                <pic:pic>
                  <pic:nvPicPr>
                    <pic:cNvPr descr="image/25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8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Механизмы NDP в IPv6</w:t>
      </w:r>
    </w:p>
    <w:p>
      <w:pPr>
        <w:pStyle w:val="BodyText"/>
      </w:pPr>
      <w:r>
        <w:t xml:space="preserve">Анализ пакетов подтвердил одновременную работу IPv4 и IPv6 (Dual Stack). Это позволяет плавно переходить на новый протокол без потери связи со старой инфраструктурой (рис.26).</w:t>
      </w:r>
    </w:p>
    <w:p>
      <w:pPr>
        <w:pStyle w:val="CaptionedFigure"/>
      </w:pPr>
      <w:r>
        <w:drawing>
          <wp:inline>
            <wp:extent cx="3733800" cy="2092315"/>
            <wp:effectExtent b="0" l="0" r="0" t="0"/>
            <wp:docPr descr="Работа двойного стека" title="" id="98" name="Picture"/>
            <a:graphic>
              <a:graphicData uri="http://schemas.openxmlformats.org/drawingml/2006/picture">
                <pic:pic>
                  <pic:nvPicPr>
                    <pic:cNvPr descr="image/26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2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Работа двойного стека</w:t>
      </w:r>
    </w:p>
    <w:p>
      <w:pPr>
        <w:pStyle w:val="BodyText"/>
      </w:pPr>
      <w:r>
        <w:t xml:space="preserve">В завершение я проанализировала захваченные пакеты на сервере. Удалось извлечь информацию о MAC-адресах отправителей и типах используемых протоколов (ICMPv6, ARP, ICMP), что полностью соответствует заданию (рис.27).</w:t>
      </w:r>
    </w:p>
    <w:p>
      <w:pPr>
        <w:pStyle w:val="CaptionedFigure"/>
      </w:pPr>
      <w:r>
        <w:drawing>
          <wp:inline>
            <wp:extent cx="3733800" cy="2458843"/>
            <wp:effectExtent b="0" l="0" r="0" t="0"/>
            <wp:docPr descr="Итоговый анализ трафика" title="" id="101" name="Picture"/>
            <a:graphic>
              <a:graphicData uri="http://schemas.openxmlformats.org/drawingml/2006/picture">
                <pic:pic>
                  <pic:nvPicPr>
                    <pic:cNvPr descr="image/27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8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Итоговый анализ трафика</w:t>
      </w:r>
    </w:p>
    <w:bookmarkEnd w:id="103"/>
    <w:bookmarkStart w:id="104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я приобрела практические навыки настройки адресного пространства IPv4 и IPv6. Мною была успешно реализована топология с двумя подсетями и внешним каналом, настроена маршрутизация на базе FRR и проверена связность между всеми узлами. Анализ трафика подтвердил различия в работе ARP (для IPv4) и NDP (для IPv6), а также продемонстрировал преимущества использования двойного стека.</w:t>
      </w:r>
    </w:p>
    <w:bookmarkEnd w:id="104"/>
    <w:bookmarkStart w:id="105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Какова длина адресов IPv4 и IPv6?</w:t>
      </w:r>
      <w:r>
        <w:t xml:space="preserve"> </w:t>
      </w:r>
      <w:r>
        <w:t xml:space="preserve">Длина IPv4-адреса составляет 32 бита, а IPv6-адреса — 128 бит.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В каком виде записываются адреса IPv4 и IPv6?</w:t>
      </w:r>
      <w:r>
        <w:t xml:space="preserve"> </w:t>
      </w:r>
      <w:r>
        <w:t xml:space="preserve">IPv4 записывается в десятично-точечной нотации (4 октета), IPv6 — в шестнадцатеричной нотации, разделенной двоеточиями.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Что такое маска подсети?</w:t>
      </w:r>
      <w:r>
        <w:t xml:space="preserve"> </w:t>
      </w:r>
      <w:r>
        <w:t xml:space="preserve">Это 32-битное число, которое определяет, какая часть IP-адреса относится к адресу сети, а какая — к адресу узла.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Что такое шлюз по умолчанию?</w:t>
      </w:r>
      <w:r>
        <w:t xml:space="preserve"> </w:t>
      </w:r>
      <w:r>
        <w:t xml:space="preserve">Это сетевое устройство (маршрутизатор), на которое отправляются пакеты, если адрес назначения находится вне локальной подсети.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Что такое двойной стек?</w:t>
      </w:r>
      <w:r>
        <w:t xml:space="preserve"> </w:t>
      </w:r>
      <w:r>
        <w:t xml:space="preserve">Это технология, позволяющая сетевым устройствам одновременно использовать протоколы IPv4 и IPv6 на одном интерфейсе.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Для чего используются Link-Local адреса в IPv6?</w:t>
      </w:r>
      <w:r>
        <w:t xml:space="preserve"> </w:t>
      </w:r>
      <w:r>
        <w:t xml:space="preserve">Они используются для взаимодействия узлов в пределах одного сегмента сети (линка) и формируются автоматически.</w:t>
      </w:r>
    </w:p>
    <w:bookmarkEnd w:id="10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Лисовская Арина Валерьевна</dc:creator>
  <dc:language>ru-RU</dc:language>
  <cp:keywords/>
  <dcterms:created xsi:type="dcterms:W3CDTF">2026-02-03T22:58:07Z</dcterms:created>
  <dcterms:modified xsi:type="dcterms:W3CDTF">2026-02-03T22:58:07Z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False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Адресация IPv4 и IPv6. Двойной стек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