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left="0" w:right="0" w:firstLine="0"/>
        <w:jc w:val="left"/>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08"/>
        <w:gridCol w:w="4508"/>
        <w:tblGridChange w:id="0">
          <w:tblGrid>
            <w:gridCol w:w="4508"/>
            <w:gridCol w:w="4508"/>
          </w:tblGrid>
        </w:tblGridChange>
      </w:tblGrid>
      <w:tr>
        <w:trPr>
          <w:cantSplit w:val="0"/>
          <w:trHeight w:val="300" w:hRule="atLeast"/>
          <w:tblHeader w:val="0"/>
        </w:trPr>
        <w:tc>
          <w:tcPr>
            <w:gridSpan w:val="2"/>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48"/>
                <w:szCs w:val="48"/>
              </w:rPr>
            </w:pPr>
            <w:r w:rsidDel="00000000" w:rsidR="00000000" w:rsidRPr="00000000">
              <w:rPr>
                <w:b w:val="1"/>
                <w:bCs w:val="1"/>
                <w:sz w:val="52"/>
                <w:szCs w:val="52"/>
                <w:rtl w:val="0"/>
              </w:rPr>
              <w:t xml:space="preserve">ACTA 01.01</w:t>
            </w:r>
            <w:r w:rsidDel="00000000" w:rsidR="00000000" w:rsidRPr="00000000">
              <w:rPr>
                <w:rtl w:val="0"/>
              </w:rPr>
            </w:r>
          </w:p>
          <w:p w:rsidR="00000000" w:rsidDel="00000000" w:rsidP="00000000" w:rsidRDefault="00000000" w:rsidRPr="00000000" w14:paraId="00000003">
            <w:pPr>
              <w:rPr>
                <w:b w:val="1"/>
                <w:bCs w:val="1"/>
                <w:sz w:val="48"/>
                <w:szCs w:val="48"/>
              </w:rPr>
            </w:pPr>
            <w:r w:rsidDel="00000000" w:rsidR="00000000" w:rsidRPr="00000000">
              <w:rPr>
                <w:b w:val="1"/>
                <w:bCs w:val="1"/>
                <w:sz w:val="48"/>
                <w:szCs w:val="48"/>
                <w:rtl w:val="0"/>
              </w:rPr>
              <w:t xml:space="preserve">20-03-2026</w:t>
            </w:r>
          </w:p>
        </w:tc>
      </w:tr>
      <w:tr>
        <w:trPr>
          <w:cantSplit w:val="0"/>
          <w:trHeight w:val="300" w:hRule="atLeast"/>
          <w:tblHeader w:val="0"/>
        </w:trPr>
        <w:tc>
          <w:tcPr/>
          <w:p w:rsidR="00000000" w:rsidDel="00000000" w:rsidP="00000000" w:rsidRDefault="00000000" w:rsidRPr="00000000" w14:paraId="00000005">
            <w:pPr>
              <w:rPr/>
            </w:pPr>
            <w:r w:rsidDel="00000000" w:rsidR="00000000" w:rsidRPr="00000000">
              <w:rPr>
                <w:rtl w:val="0"/>
              </w:rPr>
              <w:t xml:space="preserve">Participantes</w:t>
            </w:r>
          </w:p>
        </w:tc>
        <w:tc>
          <w:tcPr/>
          <w:p w:rsidR="00000000" w:rsidDel="00000000" w:rsidP="00000000" w:rsidRDefault="00000000" w:rsidRPr="00000000" w14:paraId="00000006">
            <w:pPr>
              <w:rPr/>
            </w:pPr>
            <w:r w:rsidDel="00000000" w:rsidR="00000000" w:rsidRPr="00000000">
              <w:rPr>
                <w:rtl w:val="0"/>
              </w:rPr>
              <w:t xml:space="preserve">Participantes ausentes</w:t>
            </w:r>
          </w:p>
        </w:tc>
      </w:tr>
      <w:tr>
        <w:trPr>
          <w:cantSplit w:val="0"/>
          <w:trHeight w:val="2370" w:hRule="atLeast"/>
          <w:tblHeader w:val="0"/>
        </w:trPr>
        <w:tc>
          <w:tcPr/>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d9d9d9"/>
                <w:sz w:val="18"/>
                <w:szCs w:val="18"/>
                <w:u w:val="none"/>
                <w:shd w:fill="auto" w:val="clear"/>
                <w:vertAlign w:val="baseline"/>
              </w:rPr>
            </w:pPr>
            <w:r w:rsidDel="00000000" w:rsidR="00000000" w:rsidRPr="00000000">
              <w:rPr>
                <w:sz w:val="18"/>
                <w:szCs w:val="18"/>
                <w:rtl w:val="0"/>
              </w:rPr>
              <w:t xml:space="preserve">Sofia Gómez</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18"/>
                <w:szCs w:val="18"/>
                <w:u w:val="none"/>
              </w:rPr>
            </w:pPr>
            <w:r w:rsidDel="00000000" w:rsidR="00000000" w:rsidRPr="00000000">
              <w:rPr>
                <w:sz w:val="18"/>
                <w:szCs w:val="18"/>
                <w:rtl w:val="0"/>
              </w:rPr>
              <w:t xml:space="preserve">Oriana Solorzano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18"/>
                <w:szCs w:val="18"/>
              </w:rPr>
            </w:pPr>
            <w:r w:rsidDel="00000000" w:rsidR="00000000" w:rsidRPr="00000000">
              <w:rPr>
                <w:rtl w:val="0"/>
              </w:rPr>
            </w:r>
          </w:p>
        </w:tc>
        <w:tc>
          <w:tcPr/>
          <w:p w:rsidR="00000000" w:rsidDel="00000000" w:rsidP="00000000" w:rsidRDefault="00000000" w:rsidRPr="00000000" w14:paraId="0000000A">
            <w:pPr>
              <w:rPr>
                <w:color w:val="d9d9d9"/>
                <w:sz w:val="18"/>
                <w:szCs w:val="18"/>
              </w:rPr>
            </w:pPr>
            <w:r w:rsidDel="00000000" w:rsidR="00000000" w:rsidRPr="00000000">
              <w:rPr>
                <w:rtl w:val="0"/>
              </w:rPr>
            </w:r>
          </w:p>
        </w:tc>
      </w:tr>
      <w:tr>
        <w:trPr>
          <w:cantSplit w:val="0"/>
          <w:trHeight w:val="300" w:hRule="atLeast"/>
          <w:tblHeader w:val="0"/>
        </w:trPr>
        <w:tc>
          <w:tcPr>
            <w:gridSpan w:val="2"/>
          </w:tcPr>
          <w:p w:rsidR="00000000" w:rsidDel="00000000" w:rsidP="00000000" w:rsidRDefault="00000000" w:rsidRPr="00000000" w14:paraId="0000000B">
            <w:pPr>
              <w:rPr>
                <w:b w:val="1"/>
                <w:bCs w:val="1"/>
              </w:rPr>
            </w:pPr>
            <w:r w:rsidDel="00000000" w:rsidR="00000000" w:rsidRPr="00000000">
              <w:rPr>
                <w:b w:val="1"/>
                <w:bCs w:val="1"/>
                <w:rtl w:val="0"/>
              </w:rPr>
              <w:t xml:space="preserve">Anuncios</w:t>
            </w:r>
          </w:p>
        </w:tc>
      </w:tr>
      <w:tr>
        <w:trPr>
          <w:cantSplit w:val="0"/>
          <w:trHeight w:val="2220" w:hRule="atLeast"/>
          <w:tblHeader w:val="0"/>
        </w:trPr>
        <w:tc>
          <w:tcPr>
            <w:gridSpan w:val="2"/>
          </w:tcPr>
          <w:p w:rsidR="00000000" w:rsidDel="00000000" w:rsidP="00000000" w:rsidRDefault="00000000" w:rsidRPr="00000000" w14:paraId="0000000D">
            <w:pPr>
              <w:numPr>
                <w:ilvl w:val="0"/>
                <w:numId w:val="1"/>
              </w:numPr>
              <w:ind w:left="1440" w:hanging="360"/>
              <w:rPr>
                <w:u w:val="none"/>
              </w:rPr>
            </w:pPr>
            <w:r w:rsidDel="00000000" w:rsidR="00000000" w:rsidRPr="00000000">
              <w:rPr>
                <w:rtl w:val="0"/>
              </w:rPr>
              <w:t xml:space="preserve">En esta primera reunión se llega al acuerdo de comenzar con la planificación formal del proyecto y dividirlo por complejidad e importancia, siguiendo las etapas correspondientes. Definimos el nombre, la arquitectura de solución, el proveedor de identidad, la herramienta de cola y el stack.</w:t>
            </w:r>
          </w:p>
          <w:p w:rsidR="00000000" w:rsidDel="00000000" w:rsidP="00000000" w:rsidRDefault="00000000" w:rsidRPr="00000000" w14:paraId="0000000E">
            <w:pPr>
              <w:numPr>
                <w:ilvl w:val="0"/>
                <w:numId w:val="1"/>
              </w:numPr>
              <w:ind w:left="1440" w:hanging="360"/>
              <w:rPr>
                <w:u w:val="none"/>
              </w:rPr>
            </w:pPr>
            <w:r w:rsidDel="00000000" w:rsidR="00000000" w:rsidRPr="00000000">
              <w:rPr>
                <w:b w:val="1"/>
                <w:bCs w:val="1"/>
                <w:rtl w:val="0"/>
              </w:rPr>
              <w:t xml:space="preserve">Syncro</w:t>
            </w:r>
            <w:r w:rsidDel="00000000" w:rsidR="00000000" w:rsidRPr="00000000">
              <w:rPr>
                <w:rtl w:val="0"/>
              </w:rPr>
              <w:t xml:space="preserve"> será una plataforma de gestión logística que puede integrarse en cualquier Pyme o Empresa que necesite sincronización en tiempo real su inventario, sus pedidos y sus envíos. Puede ser para cualquier rubro.</w:t>
            </w:r>
          </w:p>
        </w:tc>
      </w:tr>
      <w:tr>
        <w:trPr>
          <w:cantSplit w:val="0"/>
          <w:trHeight w:val="300" w:hRule="atLeast"/>
          <w:tblHeader w:val="0"/>
        </w:trPr>
        <w:tc>
          <w:tcPr>
            <w:gridSpan w:val="2"/>
          </w:tcPr>
          <w:p w:rsidR="00000000" w:rsidDel="00000000" w:rsidP="00000000" w:rsidRDefault="00000000" w:rsidRPr="00000000" w14:paraId="00000010">
            <w:pPr>
              <w:rPr>
                <w:b w:val="1"/>
                <w:bCs w:val="1"/>
              </w:rPr>
            </w:pPr>
            <w:r w:rsidDel="00000000" w:rsidR="00000000" w:rsidRPr="00000000">
              <w:rPr>
                <w:b w:val="1"/>
                <w:bCs w:val="1"/>
                <w:rtl w:val="0"/>
              </w:rPr>
              <w:t xml:space="preserve">Debates</w:t>
            </w:r>
          </w:p>
        </w:tc>
      </w:tr>
      <w:tr>
        <w:trPr>
          <w:cantSplit w:val="0"/>
          <w:trHeight w:val="1950" w:hRule="atLeast"/>
          <w:tblHeader w:val="0"/>
        </w:trPr>
        <w:tc>
          <w:tcPr>
            <w:gridSpan w:val="2"/>
          </w:tcPr>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Se llegó a acuerdo de que pasarela de pago no podrá efectuarse ya que solo contempla solo un microservicio y el requerimiento es de mínimo 3 microservicios.</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Se define el nombre del proyecto “Syncro” que representa básicamente la sincronización en tiempo real del inventario, los pedidos y los envió y además que puede estar dirigido a cualquier empresa y de cualquier rubro, que maneje stock y despachos puede implementarlo.</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Se define</w:t>
            </w:r>
            <w:r w:rsidDel="00000000" w:rsidR="00000000" w:rsidRPr="00000000">
              <w:rPr>
                <w:b w:val="1"/>
                <w:bCs w:val="1"/>
                <w:rtl w:val="0"/>
              </w:rPr>
              <w:t xml:space="preserve"> Arquitectura de solución: </w:t>
            </w:r>
            <w:r w:rsidDel="00000000" w:rsidR="00000000" w:rsidRPr="00000000">
              <w:rPr>
                <w:rtl w:val="0"/>
              </w:rPr>
              <w:t xml:space="preserve">Descartamos </w:t>
            </w:r>
            <w:r w:rsidDel="00000000" w:rsidR="00000000" w:rsidRPr="00000000">
              <w:rPr>
                <w:b w:val="1"/>
                <w:bCs w:val="1"/>
                <w:rtl w:val="0"/>
              </w:rPr>
              <w:t xml:space="preserve">arquitectura monolítica</w:t>
            </w:r>
            <w:r w:rsidDel="00000000" w:rsidR="00000000" w:rsidRPr="00000000">
              <w:rPr>
                <w:rtl w:val="0"/>
              </w:rPr>
              <w:t xml:space="preserve"> porque no permite escalabilidad entre módulos de manera independiente y si uno se cae se fallan todos y se caerá el sistema. </w:t>
            </w:r>
            <w:r w:rsidDel="00000000" w:rsidR="00000000" w:rsidRPr="00000000">
              <w:rPr>
                <w:b w:val="1"/>
                <w:bCs w:val="1"/>
                <w:rtl w:val="0"/>
              </w:rPr>
              <w:t xml:space="preserve">Serveless</w:t>
            </w:r>
            <w:r w:rsidDel="00000000" w:rsidR="00000000" w:rsidRPr="00000000">
              <w:rPr>
                <w:rtl w:val="0"/>
              </w:rPr>
              <w:t xml:space="preserve"> también la descartamos porque los costos variables pueden ser difíciles de predecir y por lo tanto complicado de controlar para una PYME.</w:t>
            </w:r>
          </w:p>
          <w:p w:rsidR="00000000" w:rsidDel="00000000" w:rsidP="00000000" w:rsidRDefault="00000000" w:rsidRPr="00000000" w14:paraId="00000015">
            <w:pPr>
              <w:ind w:left="720" w:firstLine="0"/>
              <w:rPr/>
            </w:pPr>
            <w:r w:rsidDel="00000000" w:rsidR="00000000" w:rsidRPr="00000000">
              <w:rPr>
                <w:rtl w:val="0"/>
              </w:rPr>
              <w:t xml:space="preserve">En conclusión se acuerda que utilizaremos 2 arquitecturas; </w:t>
            </w:r>
            <w:r w:rsidDel="00000000" w:rsidR="00000000" w:rsidRPr="00000000">
              <w:rPr>
                <w:b w:val="1"/>
                <w:bCs w:val="1"/>
                <w:rtl w:val="0"/>
              </w:rPr>
              <w:t xml:space="preserve">Microservicios</w:t>
            </w:r>
            <w:r w:rsidDel="00000000" w:rsidR="00000000" w:rsidRPr="00000000">
              <w:rPr>
                <w:rtl w:val="0"/>
              </w:rPr>
              <w:t xml:space="preserve"> y </w:t>
            </w:r>
            <w:r w:rsidDel="00000000" w:rsidR="00000000" w:rsidRPr="00000000">
              <w:rPr>
                <w:b w:val="1"/>
                <w:bCs w:val="1"/>
                <w:rtl w:val="0"/>
              </w:rPr>
              <w:t xml:space="preserve">Event-driver </w:t>
            </w:r>
            <w:r w:rsidDel="00000000" w:rsidR="00000000" w:rsidRPr="00000000">
              <w:rPr>
                <w:rtl w:val="0"/>
              </w:rPr>
              <w:t xml:space="preserve">(Se basa en eventos y colas de mensajes). Combinadas permiten que cada uno de los módulos funcionen de manera independiente y que acciones como confirmar un envío o actualizar stock se ejecuten en segundo plano sin necesidad de bloquear al usuario.</w:t>
            </w:r>
          </w:p>
          <w:p w:rsidR="00000000" w:rsidDel="00000000" w:rsidP="00000000" w:rsidRDefault="00000000" w:rsidRPr="00000000" w14:paraId="00000016">
            <w:pPr>
              <w:numPr>
                <w:ilvl w:val="0"/>
                <w:numId w:val="2"/>
              </w:numPr>
              <w:ind w:left="720" w:hanging="360"/>
              <w:rPr>
                <w:b w:val="1"/>
                <w:bCs w:val="1"/>
              </w:rPr>
            </w:pPr>
            <w:r w:rsidDel="00000000" w:rsidR="00000000" w:rsidRPr="00000000">
              <w:rPr>
                <w:b w:val="1"/>
                <w:bCs w:val="1"/>
                <w:rtl w:val="0"/>
              </w:rPr>
              <w:t xml:space="preserve">API-GATEWAY: </w:t>
            </w:r>
            <w:r w:rsidDel="00000000" w:rsidR="00000000" w:rsidRPr="00000000">
              <w:rPr>
                <w:rtl w:val="0"/>
              </w:rPr>
              <w:t xml:space="preserve">Utilizaremos Spring Cloud Gateway como punto de entrada, porque se integra bien con spring boot y permite configurar rutas, filtros y Validaciones de Token JWT directamente desde el archivo de configuracion. El Gateway actuara como intermediario entre el frontend y los micorservicios, enrutando cada peticion al servicio correspondiente.</w:t>
            </w:r>
          </w:p>
          <w:p w:rsidR="00000000" w:rsidDel="00000000" w:rsidP="00000000" w:rsidRDefault="00000000" w:rsidRPr="00000000" w14:paraId="00000017">
            <w:pPr>
              <w:numPr>
                <w:ilvl w:val="0"/>
                <w:numId w:val="2"/>
              </w:numPr>
              <w:ind w:left="720" w:hanging="360"/>
              <w:rPr>
                <w:b w:val="1"/>
                <w:bCs w:val="1"/>
              </w:rPr>
            </w:pPr>
            <w:r w:rsidDel="00000000" w:rsidR="00000000" w:rsidRPr="00000000">
              <w:rPr>
                <w:b w:val="1"/>
                <w:bCs w:val="1"/>
                <w:rtl w:val="0"/>
              </w:rPr>
              <w:t xml:space="preserve">Proveedor de identidad: </w:t>
            </w:r>
            <w:r w:rsidDel="00000000" w:rsidR="00000000" w:rsidRPr="00000000">
              <w:rPr>
                <w:rtl w:val="0"/>
              </w:rPr>
              <w:t xml:space="preserve">Utilizaremos Spring Security con JWT, porque se implementa directamente dentro de Spring Boot sin necesidad de un servidor adicional. El usuario hara login recibira un token JWT y lo envia en cada peticion. El gateway lo valida antes de permitir el acceso a cualquier micro.</w:t>
            </w:r>
          </w:p>
          <w:p w:rsidR="00000000" w:rsidDel="00000000" w:rsidP="00000000" w:rsidRDefault="00000000" w:rsidRPr="00000000" w14:paraId="00000018">
            <w:pPr>
              <w:numPr>
                <w:ilvl w:val="0"/>
                <w:numId w:val="2"/>
              </w:numPr>
              <w:ind w:left="720" w:hanging="360"/>
              <w:rPr>
                <w:b w:val="1"/>
                <w:bCs w:val="1"/>
              </w:rPr>
            </w:pPr>
            <w:r w:rsidDel="00000000" w:rsidR="00000000" w:rsidRPr="00000000">
              <w:rPr>
                <w:b w:val="1"/>
                <w:bCs w:val="1"/>
                <w:rtl w:val="0"/>
              </w:rPr>
              <w:t xml:space="preserve">Herramienta de Cola:  </w:t>
            </w:r>
            <w:r w:rsidDel="00000000" w:rsidR="00000000" w:rsidRPr="00000000">
              <w:rPr>
                <w:rtl w:val="0"/>
              </w:rPr>
              <w:t xml:space="preserve">Se elige RabbitMQ porque tambien se integra facil con springboot  a través de Spring AMQP y es una herramienta de mensajeria directa para implementar el patron Event-driven.</w:t>
            </w:r>
          </w:p>
          <w:p w:rsidR="00000000" w:rsidDel="00000000" w:rsidP="00000000" w:rsidRDefault="00000000" w:rsidRPr="00000000" w14:paraId="00000019">
            <w:pPr>
              <w:ind w:left="720" w:firstLine="0"/>
              <w:rPr/>
            </w:pPr>
            <w:r w:rsidDel="00000000" w:rsidR="00000000" w:rsidRPr="00000000">
              <w:rPr>
                <w:rtl w:val="0"/>
              </w:rPr>
              <w:t xml:space="preserve">Cuando el microservicio de orden procese un pedido, publica evento en RabbitMQ que el microservicio de inventario y el de envios consumen de manera independiente y asincrona.</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Contenedores: </w:t>
            </w:r>
            <w:r w:rsidDel="00000000" w:rsidR="00000000" w:rsidRPr="00000000">
              <w:rPr>
                <w:rtl w:val="0"/>
              </w:rPr>
              <w:t xml:space="preserve"> Utilizaremos Docker</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Orquestación: </w:t>
            </w:r>
            <w:r w:rsidDel="00000000" w:rsidR="00000000" w:rsidRPr="00000000">
              <w:rPr>
                <w:rtl w:val="0"/>
              </w:rPr>
              <w:t xml:space="preserve">Kubernetes</w:t>
            </w:r>
          </w:p>
          <w:p w:rsidR="00000000" w:rsidDel="00000000" w:rsidP="00000000" w:rsidRDefault="00000000" w:rsidRPr="00000000" w14:paraId="0000001C">
            <w:pPr>
              <w:numPr>
                <w:ilvl w:val="0"/>
                <w:numId w:val="4"/>
              </w:numPr>
              <w:ind w:left="720" w:hanging="360"/>
              <w:rPr>
                <w:b w:val="1"/>
                <w:bCs w:val="1"/>
              </w:rPr>
            </w:pPr>
            <w:r w:rsidDel="00000000" w:rsidR="00000000" w:rsidRPr="00000000">
              <w:rPr>
                <w:b w:val="1"/>
                <w:bCs w:val="1"/>
                <w:rtl w:val="0"/>
              </w:rPr>
              <w:t xml:space="preserve">Stack Tecnologico: </w:t>
            </w:r>
            <w:r w:rsidDel="00000000" w:rsidR="00000000" w:rsidRPr="00000000">
              <w:rPr>
                <w:rtl w:val="0"/>
              </w:rPr>
              <w:t xml:space="preserve">Se definió el stack completo del sistema. Para el frontend se eligió Vite con React por su rapidez de desarrollo y por ser el framework que se trabaja en el curso. Para el backend se eligió Java con Spring Boot. Para la base de datos se eligió Oracle DB, que es la que se ha trabajado durante la carrera y permite usar JPA con entidades de forma nativa. Cada microservicio tendrá su propia base de datos Oracle independiente</w:t>
            </w:r>
          </w:p>
          <w:p w:rsidR="00000000" w:rsidDel="00000000" w:rsidP="00000000" w:rsidRDefault="00000000" w:rsidRPr="00000000" w14:paraId="0000001D">
            <w:pPr>
              <w:ind w:left="720" w:firstLine="0"/>
              <w:rPr>
                <w:b w:val="1"/>
                <w:bCs w:val="1"/>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tc>
      </w:tr>
      <w:tr>
        <w:trPr>
          <w:cantSplit w:val="0"/>
          <w:trHeight w:val="300" w:hRule="atLeast"/>
          <w:tblHeader w:val="0"/>
        </w:trPr>
        <w:tc>
          <w:tcPr>
            <w:gridSpan w:val="2"/>
          </w:tcPr>
          <w:p w:rsidR="00000000" w:rsidDel="00000000" w:rsidP="00000000" w:rsidRDefault="00000000" w:rsidRPr="00000000" w14:paraId="00000020">
            <w:pPr>
              <w:spacing w:after="0" w:before="0" w:line="276" w:lineRule="auto"/>
              <w:ind w:left="0" w:right="0" w:firstLine="0"/>
              <w:jc w:val="left"/>
              <w:rPr>
                <w:b w:val="1"/>
                <w:bCs w:val="1"/>
              </w:rPr>
            </w:pPr>
            <w:r w:rsidDel="00000000" w:rsidR="00000000" w:rsidRPr="00000000">
              <w:rPr>
                <w:b w:val="1"/>
                <w:bCs w:val="1"/>
                <w:rtl w:val="0"/>
              </w:rPr>
              <w:t xml:space="preserve">Acuerdos</w:t>
            </w:r>
          </w:p>
        </w:tc>
      </w:tr>
      <w:tr>
        <w:trPr>
          <w:cantSplit w:val="0"/>
          <w:trHeight w:val="2730" w:hRule="atLeast"/>
          <w:tblHeader w:val="0"/>
        </w:trPr>
        <w:tc>
          <w:tcPr>
            <w:gridSpan w:val="2"/>
          </w:tcPr>
          <w:p w:rsidR="00000000" w:rsidDel="00000000" w:rsidP="00000000" w:rsidRDefault="00000000" w:rsidRPr="00000000" w14:paraId="00000022">
            <w:pPr>
              <w:spacing w:after="60" w:before="60" w:lineRule="auto"/>
              <w:rPr>
                <w:b w:val="1"/>
                <w:bCs w:val="1"/>
              </w:rPr>
            </w:pPr>
            <w:r w:rsidDel="00000000" w:rsidR="00000000" w:rsidRPr="00000000">
              <w:rPr>
                <w:b w:val="1"/>
                <w:bCs w:val="1"/>
                <w:rtl w:val="0"/>
              </w:rPr>
              <w:t xml:space="preserve">Arquitectura — Microservicios + Event-Driven</w:t>
            </w:r>
          </w:p>
          <w:p w:rsidR="00000000" w:rsidDel="00000000" w:rsidP="00000000" w:rsidRDefault="00000000" w:rsidRPr="00000000" w14:paraId="00000023">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Cada servicio trabaja solo, sin depender de los demás.</w:t>
            </w:r>
          </w:p>
          <w:p w:rsidR="00000000" w:rsidDel="00000000" w:rsidP="00000000" w:rsidRDefault="00000000" w:rsidRPr="00000000" w14:paraId="00000024">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Si uno falla, los otros siguen funcionando.</w:t>
            </w:r>
          </w:p>
          <w:p w:rsidR="00000000" w:rsidDel="00000000" w:rsidP="00000000" w:rsidRDefault="00000000" w:rsidRPr="00000000" w14:paraId="00000025">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Las tareas lentas como confirmar un despacho se hacen en segundo plano.</w:t>
            </w:r>
          </w:p>
          <w:p w:rsidR="00000000" w:rsidDel="00000000" w:rsidP="00000000" w:rsidRDefault="00000000" w:rsidRPr="00000000" w14:paraId="00000026">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Si hay muchos pedidos, se refuerza solo ese servicio sin tocar los otros.</w:t>
            </w:r>
          </w:p>
          <w:p w:rsidR="00000000" w:rsidDel="00000000" w:rsidP="00000000" w:rsidRDefault="00000000" w:rsidRPr="00000000" w14:paraId="00000027">
            <w:pPr>
              <w:spacing w:after="40" w:before="40" w:lineRule="auto"/>
              <w:rPr/>
            </w:pPr>
            <w:r w:rsidDel="00000000" w:rsidR="00000000" w:rsidRPr="00000000">
              <w:rPr>
                <w:rtl w:val="0"/>
              </w:rPr>
              <w:t xml:space="preserve"> </w:t>
            </w:r>
          </w:p>
          <w:p w:rsidR="00000000" w:rsidDel="00000000" w:rsidP="00000000" w:rsidRDefault="00000000" w:rsidRPr="00000000" w14:paraId="00000028">
            <w:pPr>
              <w:spacing w:after="60" w:before="60" w:lineRule="auto"/>
              <w:rPr>
                <w:b w:val="1"/>
                <w:bCs w:val="1"/>
              </w:rPr>
            </w:pPr>
            <w:r w:rsidDel="00000000" w:rsidR="00000000" w:rsidRPr="00000000">
              <w:rPr>
                <w:b w:val="1"/>
                <w:bCs w:val="1"/>
                <w:rtl w:val="0"/>
              </w:rPr>
              <w:t xml:space="preserve">API Gateway — Spring Cloud Gateway (puerto 8080)</w:t>
            </w:r>
          </w:p>
          <w:p w:rsidR="00000000" w:rsidDel="00000000" w:rsidP="00000000" w:rsidRDefault="00000000" w:rsidRPr="00000000" w14:paraId="00000029">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Recibe todas las peticiones y las manda al servicio correcto.</w:t>
            </w:r>
          </w:p>
          <w:p w:rsidR="00000000" w:rsidDel="00000000" w:rsidP="00000000" w:rsidRDefault="00000000" w:rsidRPr="00000000" w14:paraId="0000002A">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Revisa el token JWT antes de dejar pasar cualquier petición protegida.</w:t>
            </w:r>
          </w:p>
          <w:p w:rsidR="00000000" w:rsidDel="00000000" w:rsidP="00000000" w:rsidRDefault="00000000" w:rsidRPr="00000000" w14:paraId="0000002B">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Login y registro son rutas públicas, no necesitan token.</w:t>
            </w:r>
          </w:p>
          <w:p w:rsidR="00000000" w:rsidDel="00000000" w:rsidP="00000000" w:rsidRDefault="00000000" w:rsidRPr="00000000" w14:paraId="0000002C">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Configurado para aceptar peticiones del frontend en puerto 5173.</w:t>
            </w:r>
          </w:p>
          <w:p w:rsidR="00000000" w:rsidDel="00000000" w:rsidP="00000000" w:rsidRDefault="00000000" w:rsidRPr="00000000" w14:paraId="0000002D">
            <w:pPr>
              <w:spacing w:after="40" w:before="40" w:lineRule="auto"/>
              <w:rPr/>
            </w:pPr>
            <w:r w:rsidDel="00000000" w:rsidR="00000000" w:rsidRPr="00000000">
              <w:rPr>
                <w:rtl w:val="0"/>
              </w:rPr>
              <w:t xml:space="preserve"> </w:t>
            </w:r>
          </w:p>
          <w:p w:rsidR="00000000" w:rsidDel="00000000" w:rsidP="00000000" w:rsidRDefault="00000000" w:rsidRPr="00000000" w14:paraId="0000002E">
            <w:pPr>
              <w:spacing w:after="60" w:before="60" w:lineRule="auto"/>
              <w:rPr>
                <w:b w:val="1"/>
                <w:bCs w:val="1"/>
              </w:rPr>
            </w:pPr>
            <w:r w:rsidDel="00000000" w:rsidR="00000000" w:rsidRPr="00000000">
              <w:rPr>
                <w:b w:val="1"/>
                <w:bCs w:val="1"/>
                <w:rtl w:val="0"/>
              </w:rPr>
              <w:t xml:space="preserve">Proveedor de identidad — Spring Security + JWT</w:t>
            </w:r>
          </w:p>
          <w:p w:rsidR="00000000" w:rsidDel="00000000" w:rsidP="00000000" w:rsidRDefault="00000000" w:rsidRPr="00000000" w14:paraId="0000002F">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El usuario hace login con email y contraseña.</w:t>
            </w:r>
          </w:p>
          <w:p w:rsidR="00000000" w:rsidDel="00000000" w:rsidP="00000000" w:rsidRDefault="00000000" w:rsidRPr="00000000" w14:paraId="00000030">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El sistema le devuelve un token JWT.</w:t>
            </w:r>
          </w:p>
          <w:p w:rsidR="00000000" w:rsidDel="00000000" w:rsidP="00000000" w:rsidRDefault="00000000" w:rsidRPr="00000000" w14:paraId="00000031">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Ese token va en cada petición que hace el frontend.</w:t>
            </w:r>
          </w:p>
          <w:p w:rsidR="00000000" w:rsidDel="00000000" w:rsidP="00000000" w:rsidRDefault="00000000" w:rsidRPr="00000000" w14:paraId="00000032">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Si el token es inválido o vencido, el Gateway devuelve error 401.</w:t>
            </w:r>
          </w:p>
          <w:p w:rsidR="00000000" w:rsidDel="00000000" w:rsidP="00000000" w:rsidRDefault="00000000" w:rsidRPr="00000000" w14:paraId="00000033">
            <w:pPr>
              <w:spacing w:after="40" w:before="40" w:lineRule="auto"/>
              <w:rPr/>
            </w:pPr>
            <w:r w:rsidDel="00000000" w:rsidR="00000000" w:rsidRPr="00000000">
              <w:rPr>
                <w:rtl w:val="0"/>
              </w:rPr>
              <w:t xml:space="preserve"> </w:t>
            </w:r>
          </w:p>
          <w:p w:rsidR="00000000" w:rsidDel="00000000" w:rsidP="00000000" w:rsidRDefault="00000000" w:rsidRPr="00000000" w14:paraId="00000034">
            <w:pPr>
              <w:spacing w:after="60" w:before="60" w:lineRule="auto"/>
              <w:rPr>
                <w:b w:val="1"/>
                <w:bCs w:val="1"/>
              </w:rPr>
            </w:pPr>
            <w:r w:rsidDel="00000000" w:rsidR="00000000" w:rsidRPr="00000000">
              <w:rPr>
                <w:b w:val="1"/>
                <w:bCs w:val="1"/>
                <w:rtl w:val="0"/>
              </w:rPr>
              <w:t xml:space="preserve">Cola de mensajes — RabbitMQ</w:t>
            </w:r>
          </w:p>
          <w:p w:rsidR="00000000" w:rsidDel="00000000" w:rsidP="00000000" w:rsidRDefault="00000000" w:rsidRPr="00000000" w14:paraId="00000035">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gestion-pedidos publica el evento "pedido.creado" cuando llega un pedido nuevo.</w:t>
            </w:r>
          </w:p>
          <w:p w:rsidR="00000000" w:rsidDel="00000000" w:rsidP="00000000" w:rsidRDefault="00000000" w:rsidRPr="00000000" w14:paraId="00000036">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gestion-inventario lo lee y descuenta el stock.</w:t>
            </w:r>
          </w:p>
          <w:p w:rsidR="00000000" w:rsidDel="00000000" w:rsidP="00000000" w:rsidRDefault="00000000" w:rsidRPr="00000000" w14:paraId="00000037">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gestion-envios lo lee y genera el despacho.</w:t>
            </w:r>
          </w:p>
          <w:p w:rsidR="00000000" w:rsidDel="00000000" w:rsidP="00000000" w:rsidRDefault="00000000" w:rsidRPr="00000000" w14:paraId="00000038">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Los dos trabajan al mismo tiempo, sin bloquearse.</w:t>
            </w:r>
          </w:p>
          <w:p w:rsidR="00000000" w:rsidDel="00000000" w:rsidP="00000000" w:rsidRDefault="00000000" w:rsidRPr="00000000" w14:paraId="00000039">
            <w:pPr>
              <w:spacing w:after="40" w:before="40" w:lineRule="auto"/>
              <w:rPr/>
            </w:pPr>
            <w:r w:rsidDel="00000000" w:rsidR="00000000" w:rsidRPr="00000000">
              <w:rPr>
                <w:rtl w:val="0"/>
              </w:rPr>
              <w:t xml:space="preserve"> </w:t>
            </w:r>
          </w:p>
          <w:p w:rsidR="00000000" w:rsidDel="00000000" w:rsidP="00000000" w:rsidRDefault="00000000" w:rsidRPr="00000000" w14:paraId="0000003A">
            <w:pPr>
              <w:spacing w:after="60" w:before="60" w:lineRule="auto"/>
              <w:rPr>
                <w:b w:val="1"/>
                <w:bCs w:val="1"/>
              </w:rPr>
            </w:pPr>
            <w:r w:rsidDel="00000000" w:rsidR="00000000" w:rsidRPr="00000000">
              <w:rPr>
                <w:b w:val="1"/>
                <w:bCs w:val="1"/>
                <w:rtl w:val="0"/>
              </w:rPr>
              <w:t xml:space="preserve">Los 3 microservicios</w:t>
            </w:r>
          </w:p>
          <w:p w:rsidR="00000000" w:rsidDel="00000000" w:rsidP="00000000" w:rsidRDefault="00000000" w:rsidRPr="00000000" w14:paraId="0000003B">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gestion-inventario (puerto 8082): maneja el stock. Sabe cuánto hay de cada producto y lo actualiza cuando se hace una venta. Base de datos Oracle propia.</w:t>
            </w:r>
          </w:p>
          <w:p w:rsidR="00000000" w:rsidDel="00000000" w:rsidP="00000000" w:rsidRDefault="00000000" w:rsidRPr="00000000" w14:paraId="0000003C">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gestion-pedidos (puerto 8083): recibe y procesa los pedidos. Cuando aprueba uno, avisa al resto por RabbitMQ. Base de datos Oracle propia.</w:t>
            </w:r>
          </w:p>
          <w:p w:rsidR="00000000" w:rsidDel="00000000" w:rsidP="00000000" w:rsidRDefault="00000000" w:rsidRPr="00000000" w14:paraId="0000003D">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gestion-envios (puerto 8084): coordina los envíos. Sabe el estado de cada despacho hasta que llega al cliente. Base de datos Oracle propia.</w:t>
            </w:r>
          </w:p>
          <w:p w:rsidR="00000000" w:rsidDel="00000000" w:rsidP="00000000" w:rsidRDefault="00000000" w:rsidRPr="00000000" w14:paraId="0000003E">
            <w:pPr>
              <w:spacing w:after="40" w:before="40" w:lineRule="auto"/>
              <w:rPr/>
            </w:pPr>
            <w:r w:rsidDel="00000000" w:rsidR="00000000" w:rsidRPr="00000000">
              <w:rPr>
                <w:rtl w:val="0"/>
              </w:rPr>
              <w:t xml:space="preserve"> </w:t>
            </w:r>
          </w:p>
          <w:p w:rsidR="00000000" w:rsidDel="00000000" w:rsidP="00000000" w:rsidRDefault="00000000" w:rsidRPr="00000000" w14:paraId="0000003F">
            <w:pPr>
              <w:spacing w:after="60" w:before="60" w:lineRule="auto"/>
              <w:rPr>
                <w:b w:val="1"/>
                <w:bCs w:val="1"/>
              </w:rPr>
            </w:pPr>
            <w:r w:rsidDel="00000000" w:rsidR="00000000" w:rsidRPr="00000000">
              <w:rPr>
                <w:b w:val="1"/>
                <w:bCs w:val="1"/>
                <w:rtl w:val="0"/>
              </w:rPr>
              <w:t xml:space="preserve">Stack tecnológico</w:t>
            </w:r>
          </w:p>
          <w:p w:rsidR="00000000" w:rsidDel="00000000" w:rsidP="00000000" w:rsidRDefault="00000000" w:rsidRPr="00000000" w14:paraId="00000040">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Frontend: Vite + React.</w:t>
            </w:r>
          </w:p>
          <w:p w:rsidR="00000000" w:rsidDel="00000000" w:rsidP="00000000" w:rsidRDefault="00000000" w:rsidRPr="00000000" w14:paraId="00000041">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API Gateway: Spring Cloud Gateway.</w:t>
            </w:r>
          </w:p>
          <w:p w:rsidR="00000000" w:rsidDel="00000000" w:rsidP="00000000" w:rsidRDefault="00000000" w:rsidRPr="00000000" w14:paraId="00000042">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Backend: Spring Boot (Java) para los 3 microservicios.</w:t>
            </w:r>
          </w:p>
          <w:p w:rsidR="00000000" w:rsidDel="00000000" w:rsidP="00000000" w:rsidRDefault="00000000" w:rsidRPr="00000000" w14:paraId="00000043">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Identidad: Spring Security + JWT.</w:t>
            </w:r>
          </w:p>
          <w:p w:rsidR="00000000" w:rsidDel="00000000" w:rsidP="00000000" w:rsidRDefault="00000000" w:rsidRPr="00000000" w14:paraId="00000044">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Mensajería: RabbitMQ.</w:t>
            </w:r>
          </w:p>
          <w:p w:rsidR="00000000" w:rsidDel="00000000" w:rsidP="00000000" w:rsidRDefault="00000000" w:rsidRPr="00000000" w14:paraId="00000045">
            <w:pPr>
              <w:spacing w:after="40" w:before="40"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Base de datos: Oracle DB, una por cada microservicio.</w:t>
            </w:r>
          </w:p>
          <w:p w:rsidR="00000000" w:rsidDel="00000000" w:rsidP="00000000" w:rsidRDefault="00000000" w:rsidRPr="00000000" w14:paraId="00000046">
            <w:pPr>
              <w:spacing w:after="40" w:before="40" w:lineRule="auto"/>
              <w:ind w:left="840" w:hanging="280"/>
              <w:rPr/>
            </w:pP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Normal Table0"/>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tcPr>
      <w:shd w:color="auto" w:fill="eaeaea" w:val="clear"/>
    </w:tcPr>
  </w:style>
  <w:style w:type="table" w:styleId="a0"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3"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4"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5"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6"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7"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8"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9"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a"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b"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c"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d"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e"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f"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f0"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f1"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af2" w:customStyle="1">
    <w:basedOn w:val="TableNormal0"/>
    <w:tblPr>
      <w:tblStyleRowBandSize w:val="1"/>
      <w:tblStyleColBandSize w:val="1"/>
      <w:tblCellMar>
        <w:top w:w="0.0" w:type="dxa"/>
        <w:left w:w="115.0" w:type="dxa"/>
        <w:bottom w:w="0.0" w:type="dxa"/>
        <w:right w:w="115.0" w:type="dxa"/>
      </w:tblCellMar>
    </w:tblPr>
    <w:tcPr>
      <w:shd w:color="auto" w:fill="eaeaea" w:val="clear"/>
    </w:tcPr>
  </w:style>
  <w:style w:type="table" w:styleId="TableGrid">
    <w:name w:val="Table Grid"/>
    <w:basedOn w:val="Tabla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ListParagraph">
    <w:name w:val="List Paragraph"/>
    <w:basedOn w:val="Normal"/>
    <w:uiPriority w:val="34"/>
    <w:qFormat w:val="1"/>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vYznu4C7bpv+ByZcQpYh8iul8Q==">CgMxLjA4AHIhMTcxMFVOYkdoZ2k2VF9RVXdsdEdWek9fajQ5X2hFelgw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2024-06-10T06:55:00Z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