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20" w:hanging="36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Practical Work 5: Stics intercrop in practice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ind w:left="720" w:hanging="360"/>
        <w:jc w:val="center"/>
        <w:rPr>
          <w:b/>
          <w:bCs/>
          <w:lang w:val="en-US"/>
        </w:rPr>
      </w:pPr>
      <w:r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We are going to </w:t>
      </w:r>
      <w:r>
        <w:rPr>
          <w:lang w:val="en-US"/>
        </w:rPr>
        <w:t xml:space="preserve">simulate </w:t>
      </w:r>
      <w:r>
        <w:rPr>
          <w:lang w:val="en-US"/>
        </w:rPr>
        <w:t xml:space="preserve">a sorghum-cowpea intercrop</w:t>
      </w:r>
      <w:r>
        <w:rPr>
          <w:lang w:val="en-US"/>
        </w:rPr>
        <w:t xml:space="preserve"> in </w:t>
      </w:r>
      <w:r>
        <w:rPr>
          <w:lang w:val="en-US"/>
        </w:rPr>
        <w:t xml:space="preserve">southern </w:t>
      </w:r>
      <w:r>
        <w:rPr>
          <w:lang w:val="en-US"/>
        </w:rPr>
        <w:t xml:space="preserve">Mali</w:t>
      </w:r>
      <w:r>
        <w:rPr>
          <w:lang w:val="en-US"/>
        </w:rPr>
        <w:t xml:space="preserve">. </w:t>
      </w:r>
      <w:r>
        <w:rPr>
          <w:lang w:val="en-US"/>
        </w:rPr>
        <w:t xml:space="preserve">The climate is typical of Sudano-Sahelian zone of West Africa. </w:t>
      </w:r>
      <w:r>
        <w:rPr>
          <w:lang w:val="en-US"/>
        </w:rPr>
        <w:t xml:space="preserve">The soil </w:t>
      </w:r>
      <w:r>
        <w:rPr>
          <w:lang w:val="en-US"/>
        </w:rPr>
        <w:t xml:space="preserve">is classified</w:t>
      </w:r>
      <w:r>
        <w:rPr>
          <w:lang w:val="en-US"/>
        </w:rPr>
        <w:t xml:space="preserve"> as Lixisols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ind w:left="360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573020"/>
                <wp:effectExtent l="0" t="0" r="0" b="0"/>
                <wp:docPr id="1" name="Imag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4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720" cy="2573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3.60pt;height:202.6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ind w:left="720" w:hanging="360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6722" cy="2784143"/>
                <wp:effectExtent l="0" t="0" r="3175" b="0"/>
                <wp:docPr id="2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3724" t="2283" r="1430" b="4533"/>
                        <a:stretch/>
                      </pic:blipFill>
                      <pic:spPr bwMode="auto">
                        <a:xfrm>
                          <a:off x="0" y="0"/>
                          <a:ext cx="2616315" cy="27943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05.25pt;height:219.22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ind w:left="720" w:hanging="360"/>
        <w:rPr>
          <w:lang w:val="en-US"/>
        </w:rPr>
      </w:pPr>
      <w:r>
        <w:rPr>
          <w:lang w:val="en-US"/>
        </w:rPr>
        <w:t xml:space="preserve">The design is additive.</w:t>
      </w:r>
      <w:r>
        <w:rPr>
          <w:lang w:val="en-US"/>
        </w:rPr>
      </w:r>
      <w:r>
        <w:rPr>
          <w:lang w:val="en-US"/>
        </w:rPr>
      </w:r>
    </w:p>
    <w:p>
      <w:pPr>
        <w:ind w:left="720" w:hanging="360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480782"/>
                <wp:effectExtent l="0" t="0" r="0" b="5715"/>
                <wp:docPr id="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0" b="14799"/>
                        <a:stretch/>
                      </pic:blipFill>
                      <pic:spPr bwMode="auto">
                        <a:xfrm>
                          <a:off x="0" y="0"/>
                          <a:ext cx="5760720" cy="14807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53.60pt;height:116.6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ind w:left="720" w:hanging="36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Compare sole cropping </w:t>
      </w:r>
      <w:r>
        <w:rPr>
          <w:b/>
          <w:bCs/>
        </w:rPr>
        <w:t xml:space="preserve">simulatins</w:t>
      </w:r>
      <w:r>
        <w:rPr>
          <w:b/>
          <w:bCs/>
        </w:rPr>
        <w:t xml:space="preserve"> with simple and complex options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after="0"/>
      </w:pPr>
      <w:r>
        <w:t xml:space="preserve">T</w:t>
      </w:r>
      <w:r>
        <w:t xml:space="preserve">he </w:t>
      </w:r>
      <w:r>
        <w:t xml:space="preserve">folder « </w:t>
      </w:r>
      <w:r>
        <w:t xml:space="preserve">S</w:t>
      </w:r>
      <w:r>
        <w:t xml:space="preserve">imple_formalisms</w:t>
      </w:r>
      <w:r>
        <w:t xml:space="preserve"> » contains all </w:t>
      </w:r>
      <w:r>
        <w:t xml:space="preserve">the required files to run </w:t>
      </w:r>
      <w:r/>
    </w:p>
    <w:p>
      <w:pPr>
        <w:pStyle w:val="867"/>
        <w:numPr>
          <w:ilvl w:val="0"/>
          <w:numId w:val="4"/>
        </w:numPr>
        <w:jc w:val="both"/>
      </w:pPr>
      <w:r>
        <w:t xml:space="preserve">a</w:t>
      </w:r>
      <w:r>
        <w:t xml:space="preserve"> simulation of rainfed sorghum</w:t>
      </w:r>
      <w:r>
        <w:t xml:space="preserve"> fertilised with </w:t>
      </w:r>
      <w:r>
        <w:t xml:space="preserve">38</w:t>
      </w:r>
      <w:r>
        <w:t xml:space="preserve"> Nkg.ha</w:t>
      </w:r>
      <w:r>
        <w:rPr>
          <w:vertAlign w:val="superscript"/>
        </w:rPr>
        <w:t xml:space="preserve">-1</w:t>
      </w:r>
      <w:r>
        <w:t xml:space="preserve">, sowing density = 6plt.m</w:t>
      </w:r>
      <w:r>
        <w:rPr>
          <w:vertAlign w:val="superscript"/>
        </w:rPr>
        <w:t xml:space="preserve">-2</w:t>
      </w:r>
      <w:r>
        <w:rPr>
          <w:vertAlign w:val="superscript"/>
        </w:rPr>
        <w:t xml:space="preserve"> </w:t>
      </w:r>
      <w:r>
        <w:t xml:space="preserve">(</w:t>
      </w:r>
      <w:r>
        <w:t xml:space="preserve">02NT18SorgV2D1</w:t>
      </w:r>
      <w:r>
        <w:t xml:space="preserve">)</w:t>
      </w:r>
      <w:r/>
    </w:p>
    <w:p>
      <w:pPr>
        <w:pStyle w:val="867"/>
        <w:numPr>
          <w:ilvl w:val="0"/>
          <w:numId w:val="4"/>
        </w:numPr>
        <w:jc w:val="both"/>
      </w:pPr>
      <w:r>
        <w:t xml:space="preserve">a simulation of rainfed cowpea without fertilisation, </w:t>
      </w:r>
      <w:r>
        <w:t xml:space="preserve">sowing density = </w:t>
      </w:r>
      <w:r>
        <w:t xml:space="preserve">4</w:t>
      </w:r>
      <w:r>
        <w:t xml:space="preserve">plt.m</w:t>
      </w:r>
      <w:r>
        <w:rPr>
          <w:vertAlign w:val="superscript"/>
        </w:rPr>
        <w:t xml:space="preserve">-2</w:t>
      </w:r>
      <w:r>
        <w:t xml:space="preserve"> (</w:t>
      </w:r>
      <w:r>
        <w:t xml:space="preserve">NT18Niebpur</w:t>
      </w:r>
      <w:r>
        <w:t xml:space="preserve">)</w:t>
      </w:r>
      <w:r/>
    </w:p>
    <w:p>
      <w:pPr>
        <w:jc w:val="both"/>
      </w:pPr>
      <w:r>
        <w:t xml:space="preserve">These simulations use simple formalisms for </w:t>
      </w:r>
      <w:r>
        <w:t xml:space="preserve">radiation interception and water requirements. However, if we want to compare sole cropping with intercropping simulations we need to use the same formalisms (</w:t>
      </w:r>
      <w:r>
        <w:t xml:space="preserve">radiat</w:t>
      </w:r>
      <w:r>
        <w:t xml:space="preserve">ion</w:t>
      </w:r>
      <w:r>
        <w:t xml:space="preserve"> transfert and </w:t>
      </w:r>
      <w:r>
        <w:t xml:space="preserve">radiative approach).</w:t>
      </w:r>
      <w:r/>
    </w:p>
    <w:p>
      <w:pPr>
        <w:jc w:val="both"/>
      </w:pPr>
      <w:r>
        <w:rPr>
          <w:b/>
          <w:bCs/>
        </w:rPr>
        <w:t xml:space="preserve">a.</w:t>
      </w:r>
      <w:r>
        <w:t xml:space="preserve"> </w:t>
      </w:r>
      <w:r>
        <w:t xml:space="preserve">Run</w:t>
      </w:r>
      <w:r>
        <w:t xml:space="preserve"> both usms with simple </w:t>
      </w:r>
      <w:r>
        <w:t xml:space="preserve">formalisms</w:t>
      </w:r>
      <w:r>
        <w:t xml:space="preserve"> and fill the </w:t>
      </w:r>
      <w:r>
        <w:t xml:space="preserve">table</w:t>
      </w:r>
      <w:r>
        <w:t xml:space="preserve"> in</w:t>
      </w:r>
      <w:r>
        <w:t xml:space="preserve"> « Practical_Work3.xlsx »</w:t>
      </w:r>
      <w:r>
        <w:t xml:space="preserve"> </w:t>
      </w:r>
      <w:r>
        <w:t xml:space="preserve">based on the mod</w:t>
      </w:r>
      <w:r>
        <w:t xml:space="preserve">_</w:t>
      </w:r>
      <w:r>
        <w:rPr>
          <w:i/>
          <w:iCs/>
        </w:rPr>
        <w:t xml:space="preserve">name_of_usm</w:t>
      </w:r>
      <w:r>
        <w:t xml:space="preserve">.sti </w:t>
      </w:r>
      <w:r>
        <w:t xml:space="preserve">file.</w:t>
      </w:r>
      <w:r/>
    </w:p>
    <w:p>
      <w:pPr>
        <w:jc w:val="both"/>
      </w:pPr>
      <w:r>
        <w:rPr>
          <w:b/>
          <w:bCs/>
        </w:rPr>
        <w:t xml:space="preserve">b.</w:t>
      </w:r>
      <w:r>
        <w:t xml:space="preserve"> </w:t>
      </w:r>
      <w:r>
        <w:t xml:space="preserve">Compare </w:t>
      </w:r>
      <w:r>
        <w:t xml:space="preserve">simple formalisms with complex formalisms in sole cropping simulations by following these steps :</w:t>
      </w:r>
      <w:r/>
    </w:p>
    <w:p>
      <w:pPr>
        <w:jc w:val="both"/>
      </w:pPr>
      <w:r>
        <w:rPr>
          <w:b/>
          <w:bCs/>
        </w:rPr>
        <w:t xml:space="preserve">1.</w:t>
      </w:r>
      <w:r>
        <w:t xml:space="preserve"> </w:t>
      </w:r>
      <w:r>
        <w:rPr>
          <w:b/>
          <w:bCs/>
        </w:rPr>
        <w:t xml:space="preserve">Copy the folder </w:t>
      </w:r>
      <w:r>
        <w:rPr>
          <w:b/>
          <w:bCs/>
        </w:rPr>
        <w:t xml:space="preserve">« Simple_formalisms »</w:t>
      </w:r>
      <w:r>
        <w:rPr>
          <w:b/>
          <w:bCs/>
        </w:rPr>
        <w:t xml:space="preserve"> naming it </w:t>
      </w:r>
      <w:r>
        <w:rPr>
          <w:b/>
          <w:bCs/>
        </w:rPr>
        <w:t xml:space="preserve">« </w:t>
      </w:r>
      <w:r>
        <w:rPr>
          <w:b/>
          <w:bCs/>
        </w:rPr>
        <w:t xml:space="preserve">Complex</w:t>
      </w:r>
      <w:r>
        <w:rPr>
          <w:b/>
          <w:bCs/>
        </w:rPr>
        <w:t xml:space="preserve">_formalisms »</w:t>
      </w:r>
      <w:r>
        <w:rPr>
          <w:b/>
          <w:bCs/>
        </w:rPr>
        <w:t xml:space="preserve"> in your working directory</w:t>
      </w:r>
      <w:r>
        <w:rPr>
          <w:b/>
          <w:bCs/>
        </w:rPr>
        <w:t xml:space="preserve">. Open </w:t>
      </w:r>
      <w:r>
        <w:rPr>
          <w:b/>
          <w:bCs/>
        </w:rPr>
        <w:t xml:space="preserve">« Complex_formalisms »</w:t>
      </w:r>
      <w:r>
        <w:rPr>
          <w:b/>
          <w:bCs/>
        </w:rPr>
        <w:t xml:space="preserve"> folder </w:t>
      </w:r>
      <w:r>
        <w:rPr>
          <w:b/>
          <w:bCs/>
        </w:rPr>
        <w:t xml:space="preserve">in JavaSTICS.</w:t>
      </w:r>
      <w:r/>
    </w:p>
    <w:p>
      <w:pPr>
        <w:jc w:val="both"/>
        <w:rPr>
          <w:rFonts w:asciiTheme="majorHAnsi" w:hAnsiTheme="majorHAnsi" w:cstheme="majorHAnsi"/>
        </w:rPr>
      </w:pPr>
      <w:r>
        <w:rPr>
          <w:rFonts w:ascii="Segoe UI Emoji" w:hAnsi="Segoe UI Emoji" w:cs="Segoe UI Emoji"/>
        </w:rPr>
        <w:t xml:space="preserve">⚠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Every time you modify</w:t>
      </w:r>
      <w:r>
        <w:rPr>
          <w:rFonts w:asciiTheme="majorHAnsi" w:hAnsiTheme="majorHAnsi" w:cstheme="majorHAnsi"/>
        </w:rPr>
        <w:t xml:space="preserve"> a choice in the formalisms of any STICS input file, check that the parameters required for this formalisms are specified and chose the correct value for your situation.</w:t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>
      <w:pPr>
        <w:jc w:val="both"/>
        <w:spacing w:after="0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 xml:space="preserve">Modify plant files: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In each plant file go to the radiation interception module and set radiation interception to “radiation transfers”.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84042" cy="1987564"/>
                <wp:effectExtent l="0" t="0" r="7620" b="0"/>
                <wp:docPr id="4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28860" cy="2004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3.94pt;height:156.5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In each plant file go to the water module and set the requirement to “resistance approach”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4740" cy="2187563"/>
                <wp:effectExtent l="0" t="0" r="0" b="3810"/>
                <wp:docPr id="5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18875" cy="223504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32.66pt;height:172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jc w:val="both"/>
        <w:spacing w:after="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 xml:space="preserve">Modify </w:t>
      </w:r>
      <w:r>
        <w:rPr>
          <w:b/>
          <w:bCs/>
        </w:rPr>
        <w:t xml:space="preserve">technical</w:t>
      </w:r>
      <w:r>
        <w:rPr>
          <w:b/>
          <w:bCs/>
        </w:rPr>
        <w:t xml:space="preserve"> files: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For each tec file, go to the sowing module and set ‘planting structure’ to yes.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27594" cy="2716076"/>
                <wp:effectExtent l="0" t="0" r="1905" b="8255"/>
                <wp:docPr id="6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33111" cy="2718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8.87pt;height:213.8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>
        <w:rPr>
          <w:b/>
          <w:bCs/>
          <w:lang w:val="en-US"/>
        </w:rPr>
        <w:t xml:space="preserve">Modify station file: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Open the weather station ‘StationNtarla’, open the ‘climate module’ and set reading or calculation of PET to ‘PET_Shuttleworth-Wallace_calculation’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2164" cy="1724266"/>
                <wp:effectExtent l="0" t="0" r="0" b="9525"/>
                <wp:docPr id="7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82164" cy="1724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60.80pt;height:135.7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t xml:space="preserve">Run both usms with </w:t>
      </w:r>
      <w:r>
        <w:t xml:space="preserve">complex</w:t>
      </w:r>
      <w:r>
        <w:t xml:space="preserve"> formalisms </w:t>
      </w:r>
      <w:r>
        <w:t xml:space="preserve">and </w:t>
      </w:r>
      <w:r>
        <w:t xml:space="preserve">fill the table in « Practical_Work3.xlsx » based on the mod_</w:t>
      </w:r>
      <w:r>
        <w:rPr>
          <w:i/>
          <w:iCs/>
        </w:rPr>
        <w:t xml:space="preserve">name_of_usm</w:t>
      </w:r>
      <w:r>
        <w:t xml:space="preserve">.sti file.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Create intercropping usms 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>
        <w:rPr>
          <w:b/>
          <w:bCs/>
          <w:lang w:val="en-US"/>
        </w:rPr>
        <w:t xml:space="preserve">Create new</w:t>
      </w:r>
      <w:r>
        <w:rPr>
          <w:b/>
          <w:bCs/>
          <w:lang w:val="en-US"/>
        </w:rPr>
        <w:t xml:space="preserve"> initial file</w:t>
      </w:r>
      <w:r>
        <w:rPr>
          <w:b/>
          <w:bCs/>
          <w:lang w:val="en-US"/>
        </w:rPr>
        <w:t xml:space="preserve">s</w:t>
      </w:r>
      <w:r>
        <w:rPr>
          <w:b/>
          <w:bCs/>
          <w:lang w:val="en-US"/>
        </w:rPr>
        <w:t xml:space="preserve">: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b/>
          <w:bCs/>
          <w:lang w:val="en-US"/>
        </w:rPr>
      </w:pPr>
      <w:r>
        <w:rPr>
          <w:lang w:val="en-US"/>
        </w:rPr>
        <w:t xml:space="preserve">O</w:t>
      </w:r>
      <w:r>
        <w:rPr>
          <w:lang w:val="en-US"/>
        </w:rPr>
        <w:t xml:space="preserve">pen</w:t>
      </w:r>
      <w:r>
        <w:rPr>
          <w:lang w:val="en-US"/>
        </w:rPr>
        <w:t xml:space="preserve"> the</w:t>
      </w:r>
      <w:r>
        <w:rPr>
          <w:lang w:val="en-US"/>
        </w:rPr>
        <w:t xml:space="preserve"> initial</w:t>
      </w:r>
      <w:r>
        <w:rPr>
          <w:lang w:val="en-US"/>
        </w:rPr>
        <w:t xml:space="preserve">ization</w:t>
      </w:r>
      <w:r>
        <w:rPr>
          <w:lang w:val="en-US"/>
        </w:rPr>
        <w:t xml:space="preserve"> file</w:t>
      </w:r>
      <w:r>
        <w:rPr>
          <w:lang w:val="en-US"/>
        </w:rPr>
        <w:t xml:space="preserve"> “</w:t>
      </w:r>
      <w:r>
        <w:rPr>
          <w:lang w:val="en-US"/>
        </w:rPr>
        <w:t xml:space="preserve">02NT18SorgV2D1_ini.xml</w:t>
      </w:r>
      <w:r>
        <w:rPr>
          <w:lang w:val="en-US"/>
        </w:rPr>
        <w:t xml:space="preserve">”</w:t>
      </w:r>
      <w:r>
        <w:rPr>
          <w:lang w:val="en-US"/>
        </w:rPr>
        <w:t xml:space="preserve">. </w:t>
      </w:r>
      <w:r>
        <w:rPr>
          <w:lang w:val="en-US"/>
        </w:rPr>
        <w:t xml:space="preserve">If y</w:t>
      </w:r>
      <w:r>
        <w:rPr>
          <w:lang w:val="en-US"/>
        </w:rPr>
        <w:t xml:space="preserve">ou get an error message, ignore it.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4051" cy="1528549"/>
                <wp:effectExtent l="0" t="0" r="0" b="0"/>
                <wp:docPr id="8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74979" cy="1534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21.58pt;height:120.3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T</w:t>
      </w:r>
      <w:r>
        <w:rPr>
          <w:lang w:val="en-US"/>
        </w:rPr>
        <w:t xml:space="preserve">ick the box ‘Associated plant’</w:t>
      </w:r>
      <w:r>
        <w:rPr>
          <w:lang w:val="en-US"/>
        </w:rPr>
        <w:t xml:space="preserve">.</w:t>
      </w:r>
      <w:r>
        <w:rPr>
          <w:lang w:val="en-US"/>
        </w:rPr>
        <w:t xml:space="preserve"> Save as </w:t>
      </w:r>
      <w:r>
        <w:rPr>
          <w:lang w:val="en-US"/>
        </w:rPr>
        <w:t xml:space="preserve">02NT18SorgV2D1_</w:t>
      </w:r>
      <w:r>
        <w:rPr>
          <w:lang w:val="en-US"/>
        </w:rPr>
        <w:t xml:space="preserve">int_</w:t>
      </w:r>
      <w:r>
        <w:rPr>
          <w:lang w:val="en-US"/>
        </w:rPr>
        <w:t xml:space="preserve">ini.xml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235200"/>
                <wp:effectExtent l="0" t="0" r="0" b="0"/>
                <wp:docPr id="9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720" cy="223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53.60pt;height:176.0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  <w:lang w:val="en-US"/>
        </w:rPr>
        <w:t xml:space="preserve">Create intercropping</w:t>
      </w:r>
      <w:r>
        <w:rPr>
          <w:b/>
          <w:bCs/>
          <w:lang w:val="en-US"/>
        </w:rPr>
        <w:t xml:space="preserve"> usms</w:t>
      </w:r>
      <w:r>
        <w:rPr>
          <w:b/>
          <w:bCs/>
          <w:lang w:val="en-US"/>
        </w:rPr>
        <w:t xml:space="preserve">: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Open</w:t>
      </w:r>
      <w:r>
        <w:rPr>
          <w:lang w:val="en-US"/>
        </w:rPr>
        <w:t xml:space="preserve"> the</w:t>
      </w:r>
      <w:r>
        <w:rPr>
          <w:lang w:val="en-US"/>
        </w:rPr>
        <w:t xml:space="preserve"> usm of Sorghum “02NT18SorgV2D1”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Tick option intercropping</w:t>
      </w:r>
      <w:r>
        <w:rPr>
          <w:lang w:val="en-US"/>
        </w:rPr>
        <w:t xml:space="preserve">. 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Fill associated plant</w:t>
      </w:r>
      <w:r>
        <w:rPr>
          <w:lang w:val="en-US"/>
        </w:rPr>
        <w:t xml:space="preserve"> red boxes</w:t>
      </w:r>
      <w:r>
        <w:rPr>
          <w:lang w:val="en-US"/>
        </w:rPr>
        <w:t xml:space="preserve"> with the cowpea files.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Change the initia</w:t>
      </w:r>
      <w:r>
        <w:rPr>
          <w:lang w:val="en-US"/>
        </w:rPr>
        <w:t xml:space="preserve">lization.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Save as “02NT18SorgV2D1_int”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550160"/>
                <wp:effectExtent l="0" t="0" r="0" b="254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720" cy="255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53.60pt;height:200.8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t xml:space="preserve">Run </w:t>
      </w:r>
      <w:r>
        <w:t xml:space="preserve">the</w:t>
      </w:r>
      <w:r>
        <w:t xml:space="preserve"> usm and fill the table in « Practical_Work3.xlsx » based on the </w:t>
      </w:r>
      <w:r>
        <w:t xml:space="preserve">files </w:t>
      </w:r>
      <w:r>
        <w:t xml:space="preserve">mod_</w:t>
      </w:r>
      <w:r>
        <w:t xml:space="preserve">b</w:t>
      </w:r>
      <w:r>
        <w:t xml:space="preserve">p</w:t>
      </w:r>
      <w:r>
        <w:rPr>
          <w:i/>
          <w:iCs/>
        </w:rPr>
        <w:t xml:space="preserve">name_of_usm</w:t>
      </w:r>
      <w:r>
        <w:t xml:space="preserve">.sti</w:t>
      </w:r>
      <w:r>
        <w:t xml:space="preserve"> for principal crop and </w:t>
      </w:r>
      <w:r>
        <w:t xml:space="preserve">mod_</w:t>
      </w:r>
      <w:r>
        <w:t xml:space="preserve">b</w:t>
      </w:r>
      <w:r>
        <w:t xml:space="preserve">a</w:t>
      </w:r>
      <w:r>
        <w:rPr>
          <w:i/>
          <w:iCs/>
        </w:rPr>
        <w:t xml:space="preserve">name_of_usm</w:t>
      </w:r>
      <w:r>
        <w:t xml:space="preserve">.sti</w:t>
      </w:r>
      <w:r>
        <w:t xml:space="preserve"> </w:t>
      </w:r>
      <w:r>
        <w:t xml:space="preserve">for associated crop</w:t>
      </w:r>
      <w: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Impact of different </w:t>
      </w:r>
      <w:r>
        <w:rPr>
          <w:b/>
          <w:bCs/>
          <w:lang w:val="en-US"/>
        </w:rPr>
        <w:t xml:space="preserve">crop managements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 </w:t>
      </w:r>
      <w:r>
        <w:rPr>
          <w:b/>
          <w:bCs/>
          <w:lang w:val="en-US"/>
        </w:rPr>
        <w:t xml:space="preserve">Impact of fertilization on intercropping performance,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new tec</w:t>
      </w:r>
      <w:r>
        <w:rPr>
          <w:lang w:val="en-US"/>
        </w:rPr>
        <w:t xml:space="preserve">hnical</w:t>
      </w:r>
      <w:r>
        <w:rPr>
          <w:lang w:val="en-US"/>
        </w:rPr>
        <w:t xml:space="preserve"> files with no fertilization and a </w:t>
      </w:r>
      <w:r>
        <w:rPr>
          <w:lang w:val="en-US"/>
        </w:rPr>
        <w:t xml:space="preserve">high fertilization level (120 kgN/ha)</w:t>
      </w:r>
      <w:r>
        <w:rPr>
          <w:lang w:val="en-US"/>
        </w:rPr>
        <w:t xml:space="preserve"> for </w:t>
      </w:r>
      <w:r>
        <w:rPr>
          <w:lang w:val="en-US"/>
        </w:rPr>
        <w:t xml:space="preserve">sorghum</w:t>
      </w:r>
      <w:r>
        <w:rPr>
          <w:lang w:val="en-US"/>
        </w:rPr>
        <w:t xml:space="preserve">. 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</w:t>
      </w:r>
      <w:r>
        <w:rPr>
          <w:lang w:val="en-US"/>
        </w:rPr>
        <w:t xml:space="preserve">e</w:t>
      </w:r>
      <w:r>
        <w:rPr>
          <w:lang w:val="en-US"/>
        </w:rPr>
        <w:t xml:space="preserve"> from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_F0</w:t>
      </w:r>
      <w:r>
        <w:rPr>
          <w:lang w:val="en-US"/>
        </w:rPr>
        <w:t xml:space="preserve">_tec.xml</w:t>
      </w:r>
      <w:r>
        <w:rPr>
          <w:lang w:val="en-US"/>
        </w:rPr>
        <w:t xml:space="preserve"> or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_F120</w:t>
      </w:r>
      <w:r>
        <w:rPr>
          <w:lang w:val="en-US"/>
        </w:rPr>
        <w:t xml:space="preserve">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fertilisation values in the tec files and save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and launch </w:t>
      </w:r>
      <w:r>
        <w:rPr>
          <w:lang w:val="en-US"/>
        </w:rPr>
        <w:t xml:space="preserve">usms</w:t>
      </w:r>
      <w:r>
        <w:rPr>
          <w:lang w:val="en-US"/>
        </w:rPr>
        <w:t xml:space="preserve"> </w:t>
      </w:r>
      <w:r>
        <w:rPr>
          <w:lang w:val="en-US"/>
        </w:rPr>
        <w:t xml:space="preserve">with and without fertilization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Compare the new simulations </w:t>
      </w:r>
      <w:r>
        <w:rPr>
          <w:lang w:val="en-US"/>
        </w:rPr>
        <w:t xml:space="preserve">with and without fertilization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  <w:lang w:val="en-US"/>
        </w:rPr>
        <w:t xml:space="preserve">Impact of planting date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</w:t>
      </w:r>
      <w:r>
        <w:rPr>
          <w:lang w:val="en-US"/>
        </w:rPr>
        <w:t xml:space="preserve">a </w:t>
      </w:r>
      <w:r>
        <w:rPr>
          <w:lang w:val="en-US"/>
        </w:rPr>
        <w:t xml:space="preserve">new tec</w:t>
      </w:r>
      <w:r>
        <w:rPr>
          <w:lang w:val="en-US"/>
        </w:rPr>
        <w:t xml:space="preserve">hnical</w:t>
      </w:r>
      <w:r>
        <w:rPr>
          <w:lang w:val="en-US"/>
        </w:rPr>
        <w:t xml:space="preserve"> file</w:t>
      </w:r>
      <w:r>
        <w:rPr>
          <w:lang w:val="en-US"/>
        </w:rPr>
        <w:t xml:space="preserve"> for cowpea</w:t>
      </w:r>
      <w:r>
        <w:rPr>
          <w:lang w:val="en-US"/>
        </w:rPr>
        <w:t xml:space="preserve"> with </w:t>
      </w:r>
      <w:r>
        <w:rPr>
          <w:lang w:val="en-US"/>
        </w:rPr>
        <w:t xml:space="preserve">a different </w:t>
      </w:r>
      <w:r>
        <w:rPr>
          <w:lang w:val="en-US"/>
        </w:rPr>
        <w:t xml:space="preserve">planting date</w:t>
      </w:r>
      <w:r>
        <w:rPr>
          <w:lang w:val="en-US"/>
        </w:rPr>
        <w:t xml:space="preserve">: </w:t>
      </w:r>
      <w:r>
        <w:rPr>
          <w:lang w:val="en-US"/>
        </w:rPr>
        <w:t xml:space="preserve">192, later than sorghum (177)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>
        <w:rPr>
          <w:lang w:val="en-US"/>
        </w:rPr>
        <w:t xml:space="preserve">NTniebpurF0_tec.xml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>
        <w:rPr>
          <w:lang w:val="en-US"/>
        </w:rPr>
        <w:t xml:space="preserve">NTniebpurF0</w:t>
      </w:r>
      <w:r>
        <w:rPr>
          <w:lang w:val="en-US"/>
        </w:rPr>
        <w:t xml:space="preserve">_PD2</w:t>
      </w:r>
      <w:r>
        <w:rPr>
          <w:lang w:val="en-US"/>
        </w:rPr>
        <w:t xml:space="preserve">_tec.xml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</w:t>
      </w:r>
      <w:r>
        <w:rPr>
          <w:lang w:val="en-US"/>
        </w:rPr>
        <w:t xml:space="preserve">planting date</w:t>
      </w:r>
      <w:r>
        <w:rPr>
          <w:lang w:val="en-US"/>
        </w:rPr>
        <w:t xml:space="preserve"> in the tec file and save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and launch </w:t>
      </w:r>
      <w:r>
        <w:rPr>
          <w:lang w:val="en-US"/>
        </w:rPr>
        <w:t xml:space="preserve">the </w:t>
      </w:r>
      <w:r>
        <w:rPr>
          <w:lang w:val="en-US"/>
        </w:rPr>
        <w:t xml:space="preserve">intercropping </w:t>
      </w:r>
      <w:r>
        <w:rPr>
          <w:lang w:val="en-US"/>
        </w:rPr>
        <w:t xml:space="preserve">usm</w:t>
      </w:r>
      <w:r>
        <w:rPr>
          <w:lang w:val="en-US"/>
        </w:rPr>
        <w:t xml:space="preserve"> with sorghum planted day 177 and cowpea day 192.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Do the opposite with cowpea </w:t>
      </w:r>
      <w:r>
        <w:rPr>
          <w:lang w:val="en-US"/>
        </w:rPr>
        <w:t xml:space="preserve">planted day 177 and </w:t>
      </w:r>
      <w:r>
        <w:rPr>
          <w:lang w:val="en-US"/>
        </w:rPr>
        <w:t xml:space="preserve">sorghum</w:t>
      </w:r>
      <w:r>
        <w:rPr>
          <w:lang w:val="en-US"/>
        </w:rPr>
        <w:t xml:space="preserve"> day 192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</w:t>
      </w:r>
      <w:r>
        <w:rPr>
          <w:lang w:val="en-US"/>
        </w:rPr>
        <w:t xml:space="preserve">PD2</w:t>
      </w:r>
      <w:r>
        <w:rPr>
          <w:lang w:val="en-US"/>
        </w:rPr>
        <w:t xml:space="preserve">_tec.xml or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_F120_tec.xml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</w:t>
      </w:r>
      <w:r>
        <w:rPr>
          <w:lang w:val="en-US"/>
        </w:rPr>
        <w:t xml:space="preserve">planting date</w:t>
      </w:r>
      <w:r>
        <w:rPr>
          <w:lang w:val="en-US"/>
        </w:rPr>
        <w:t xml:space="preserve"> in the tec file and save.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Compare the new simulations </w:t>
      </w:r>
      <w:r>
        <w:rPr>
          <w:lang w:val="en-US"/>
        </w:rPr>
        <w:t xml:space="preserve">for the two planting dates.</w:t>
      </w:r>
      <w:r>
        <w:rPr>
          <w:lang w:val="en-US"/>
        </w:rPr>
      </w:r>
      <w:r>
        <w:rPr>
          <w:lang w:val="en-US"/>
        </w:rPr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>
        <w:rPr>
          <w:b/>
          <w:bCs/>
          <w:lang w:val="en-US"/>
        </w:rPr>
        <w:t xml:space="preserve">Impact of </w:t>
      </w:r>
      <w:r>
        <w:rPr>
          <w:b/>
          <w:bCs/>
          <w:lang w:val="en-US"/>
        </w:rPr>
        <w:t xml:space="preserve">row spacing and density</w:t>
      </w:r>
      <w:r>
        <w:rPr>
          <w:b/>
          <w:bCs/>
          <w:lang w:val="en-US"/>
        </w:rPr>
        <w:t xml:space="preserve"> on simulations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a new </w:t>
      </w:r>
      <w:r>
        <w:rPr>
          <w:lang w:val="en-US"/>
        </w:rPr>
        <w:t xml:space="preserve">tec</w:t>
      </w:r>
      <w:r>
        <w:rPr>
          <w:lang w:val="en-US"/>
        </w:rPr>
        <w:t xml:space="preserve"> file with larger </w:t>
      </w:r>
      <w:r>
        <w:rPr>
          <w:lang w:val="en-US"/>
        </w:rPr>
        <w:t xml:space="preserve">sorghum</w:t>
      </w:r>
      <w:r>
        <w:rPr>
          <w:lang w:val="en-US"/>
        </w:rPr>
        <w:t xml:space="preserve"> r</w:t>
      </w:r>
      <w:r>
        <w:rPr>
          <w:lang w:val="en-US"/>
        </w:rPr>
        <w:t xml:space="preserve">ow</w:t>
      </w:r>
      <w:r>
        <w:rPr>
          <w:lang w:val="en-US"/>
        </w:rPr>
        <w:t xml:space="preserve"> spacing</w:t>
      </w:r>
      <w:r>
        <w:rPr>
          <w:lang w:val="en-US"/>
        </w:rPr>
        <w:t xml:space="preserve"> </w:t>
      </w:r>
      <w:r>
        <w:rPr>
          <w:lang w:val="en-US"/>
        </w:rPr>
        <w:t xml:space="preserve">(0.8 instead of 0.4)</w:t>
      </w:r>
      <w:r>
        <w:rPr>
          <w:lang w:val="en-US"/>
        </w:rPr>
        <w:t xml:space="preserve"> and lower densities (3 instead of 6)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</w:t>
      </w:r>
      <w:r>
        <w:rPr>
          <w:lang w:val="en-US"/>
        </w:rPr>
        <w:t xml:space="preserve">RS2</w:t>
      </w:r>
      <w:r>
        <w:rPr>
          <w:lang w:val="en-US"/>
        </w:rPr>
        <w:t xml:space="preserve">_tec.xml or </w:t>
      </w:r>
      <w:r>
        <w:rPr>
          <w:lang w:val="en-US"/>
        </w:rPr>
        <w:t xml:space="preserve">02NT18SorgV2D1</w:t>
      </w:r>
      <w:r>
        <w:rPr>
          <w:lang w:val="en-US"/>
        </w:rPr>
        <w:t xml:space="preserve">_F120_tec.xml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</w:t>
      </w:r>
      <w:r>
        <w:rPr>
          <w:lang w:val="en-US"/>
        </w:rPr>
        <w:t xml:space="preserve">row spacing</w:t>
      </w:r>
      <w:r>
        <w:rPr>
          <w:lang w:val="en-US"/>
        </w:rPr>
        <w:t xml:space="preserve"> in the tec file and save.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and launch the simulations with </w:t>
      </w:r>
      <w:r>
        <w:rPr>
          <w:lang w:val="en-US"/>
        </w:rPr>
        <w:t xml:space="preserve">the </w:t>
      </w:r>
      <w:r>
        <w:rPr>
          <w:lang w:val="en-US"/>
        </w:rPr>
        <w:t xml:space="preserve">new raw spacing</w:t>
      </w:r>
      <w:r>
        <w:rPr>
          <w:lang w:val="en-US"/>
        </w:rPr>
        <w:t xml:space="preserve"> for </w:t>
      </w:r>
      <w:r>
        <w:rPr>
          <w:lang w:val="en-US"/>
        </w:rPr>
        <w:t xml:space="preserve">sorghum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Do the same for cowpea </w:t>
      </w:r>
      <w:r>
        <w:rPr>
          <w:lang w:val="en-US"/>
        </w:rPr>
        <w:t xml:space="preserve">(</w:t>
      </w:r>
      <w:r>
        <w:rPr>
          <w:lang w:val="en-US"/>
        </w:rPr>
        <w:t xml:space="preserve">row spacing of </w:t>
      </w:r>
      <w:r>
        <w:rPr>
          <w:lang w:val="en-US"/>
        </w:rPr>
        <w:t xml:space="preserve">0.8 instead of 0.4)</w:t>
      </w:r>
      <w:r>
        <w:rPr>
          <w:lang w:val="en-US"/>
        </w:rPr>
        <w:t xml:space="preserve"> </w:t>
      </w:r>
      <w:r>
        <w:rPr>
          <w:lang w:val="en-US"/>
        </w:rPr>
        <w:t xml:space="preserve">and lower densities (</w:t>
      </w:r>
      <w:r>
        <w:rPr>
          <w:lang w:val="en-US"/>
        </w:rPr>
        <w:t xml:space="preserve">2</w:t>
      </w:r>
      <w:r>
        <w:rPr>
          <w:lang w:val="en-US"/>
        </w:rPr>
        <w:t xml:space="preserve"> instead of </w:t>
      </w:r>
      <w:r>
        <w:rPr>
          <w:lang w:val="en-US"/>
        </w:rPr>
        <w:t xml:space="preserve">4</w:t>
      </w:r>
      <w:r>
        <w:rPr>
          <w:lang w:val="en-US"/>
        </w:rPr>
        <w:t xml:space="preserve">).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Create a new file from </w:t>
      </w:r>
      <w:r>
        <w:rPr>
          <w:lang w:val="en-US"/>
        </w:rPr>
        <w:t xml:space="preserve">NTniebpurF0_tec.xml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Rename </w:t>
      </w:r>
      <w:r>
        <w:rPr>
          <w:lang w:val="en-US"/>
        </w:rPr>
        <w:t xml:space="preserve">NTniebpurF0</w:t>
      </w:r>
      <w:r>
        <w:rPr>
          <w:lang w:val="en-US"/>
        </w:rPr>
        <w:t xml:space="preserve">_PD2</w:t>
      </w:r>
      <w:r>
        <w:rPr>
          <w:lang w:val="en-US"/>
        </w:rPr>
        <w:t xml:space="preserve">_tec.xml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Style w:val="867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Replace planting date in the tec file and save.</w:t>
      </w:r>
      <w:r>
        <w:rPr>
          <w:lang w:val="en-US"/>
        </w:rPr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Create and launch the simulations with the new raw spacing for </w:t>
      </w:r>
      <w:r>
        <w:rPr>
          <w:lang w:val="en-US"/>
        </w:rPr>
        <w:t xml:space="preserve">cowpea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Compare the new </w:t>
      </w:r>
      <w:r>
        <w:rPr>
          <w:lang w:val="en-US"/>
        </w:rPr>
        <w:t xml:space="preserve">simulations</w:t>
      </w:r>
      <w:r>
        <w:rPr>
          <w:lang w:val="en-US"/>
        </w:rPr>
        <w:t xml:space="preserve"> with the previous</w:t>
      </w:r>
      <w:r>
        <w:rPr>
          <w:lang w:val="en-US"/>
        </w:rPr>
        <w:t xml:space="preserve"> ones.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Finally make a simulation with substitutive design: 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383665"/>
                <wp:effectExtent l="0" t="0" r="0" b="6985"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20" cy="1383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53.60pt;height:108.9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Compare the new simulations with the previous ones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sectPr>
      <w:headerReference w:type="default" r:id="rId9"/>
      <w:footnotePr/>
      <w:endnotePr/>
      <w:type w:val="nextPage"/>
      <w:pgSz w:w="11906" w:h="16838" w:orient="portrait"/>
      <w:pgMar w:top="1417" w:right="1417" w:bottom="1417" w:left="1417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Segoe UI Emoji">
    <w:panose1 w:val="020B05020402040202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8"/>
    </w:pPr>
    <w:r>
      <w:t xml:space="preserve">Mathilde de Freitas – Antoine Couëdel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9"/>
      <w:numFmt w:val="lowerLetter"/>
      <w:isLgl w:val="false"/>
      <w:suff w:val="tab"/>
      <w:lvlText w:val="%1.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3204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392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64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36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608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80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52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8244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styleLink w:val="872"/>
    <w:lvl w:ilvl="0">
      <w:start w:val="1"/>
      <w:numFmt w:val="decimal"/>
      <w:pStyle w:val="872"/>
      <w:isLgl w:val="false"/>
      <w:suff w:val="tab"/>
      <w:lvlText w:val="%1-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484" w:hanging="360"/>
      </w:pPr>
      <w:rPr>
        <w:rFonts w:asciiTheme="minorHAnsi" w:hAnsiTheme="minorHAnsi" w:eastAsiaTheme="minorHAnsi" w:cstheme="minorBidi"/>
      </w:rPr>
    </w:lvl>
    <w:lvl w:ilvl="1">
      <w:start w:val="1"/>
      <w:numFmt w:val="lowerLetter"/>
      <w:isLgl w:val="false"/>
      <w:suff w:val="tab"/>
      <w:lvlText w:val="%2."/>
      <w:lvlJc w:val="left"/>
      <w:pPr>
        <w:ind w:left="3204" w:hanging="360"/>
      </w:pPr>
      <w:rPr>
        <w:rFonts w:asciiTheme="minorHAnsi" w:hAnsiTheme="minorHAnsi" w:eastAsiaTheme="minorHAnsi" w:cstheme="minorBidi"/>
      </w:rPr>
    </w:lvl>
    <w:lvl w:ilvl="2">
      <w:start w:val="1"/>
      <w:numFmt w:val="lowerRoman"/>
      <w:isLgl w:val="false"/>
      <w:suff w:val="tab"/>
      <w:lvlText w:val="%3."/>
      <w:lvlJc w:val="right"/>
      <w:pPr>
        <w:ind w:left="392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64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36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608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80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52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8244" w:hanging="180"/>
      </w:p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lowerRoman"/>
      <w:isLgl w:val="false"/>
      <w:suff w:val="tab"/>
      <w:lvlText w:val="%1."/>
      <w:lvlJc w:val="right"/>
      <w:pPr>
        <w:ind w:left="23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30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7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5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2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9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6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3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8100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0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8">
    <w:name w:val="Heading 1"/>
    <w:basedOn w:val="863"/>
    <w:next w:val="863"/>
    <w:link w:val="68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9">
    <w:name w:val="Heading 1 Char"/>
    <w:basedOn w:val="864"/>
    <w:link w:val="688"/>
    <w:uiPriority w:val="9"/>
    <w:rPr>
      <w:rFonts w:ascii="Arial" w:hAnsi="Arial" w:eastAsia="Arial" w:cs="Arial"/>
      <w:sz w:val="40"/>
      <w:szCs w:val="40"/>
    </w:rPr>
  </w:style>
  <w:style w:type="paragraph" w:styleId="690">
    <w:name w:val="Heading 2"/>
    <w:basedOn w:val="863"/>
    <w:next w:val="863"/>
    <w:link w:val="69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1">
    <w:name w:val="Heading 2 Char"/>
    <w:basedOn w:val="864"/>
    <w:link w:val="690"/>
    <w:uiPriority w:val="9"/>
    <w:rPr>
      <w:rFonts w:ascii="Arial" w:hAnsi="Arial" w:eastAsia="Arial" w:cs="Arial"/>
      <w:sz w:val="34"/>
    </w:rPr>
  </w:style>
  <w:style w:type="paragraph" w:styleId="692">
    <w:name w:val="Heading 3"/>
    <w:basedOn w:val="863"/>
    <w:next w:val="863"/>
    <w:link w:val="69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3">
    <w:name w:val="Heading 3 Char"/>
    <w:basedOn w:val="864"/>
    <w:link w:val="692"/>
    <w:uiPriority w:val="9"/>
    <w:rPr>
      <w:rFonts w:ascii="Arial" w:hAnsi="Arial" w:eastAsia="Arial" w:cs="Arial"/>
      <w:sz w:val="30"/>
      <w:szCs w:val="30"/>
    </w:rPr>
  </w:style>
  <w:style w:type="paragraph" w:styleId="694">
    <w:name w:val="Heading 4"/>
    <w:basedOn w:val="863"/>
    <w:next w:val="863"/>
    <w:link w:val="69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5">
    <w:name w:val="Heading 4 Char"/>
    <w:basedOn w:val="864"/>
    <w:link w:val="694"/>
    <w:uiPriority w:val="9"/>
    <w:rPr>
      <w:rFonts w:ascii="Arial" w:hAnsi="Arial" w:eastAsia="Arial" w:cs="Arial"/>
      <w:b/>
      <w:bCs/>
      <w:sz w:val="26"/>
      <w:szCs w:val="26"/>
    </w:rPr>
  </w:style>
  <w:style w:type="paragraph" w:styleId="696">
    <w:name w:val="Heading 5"/>
    <w:basedOn w:val="863"/>
    <w:next w:val="863"/>
    <w:link w:val="69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7">
    <w:name w:val="Heading 5 Char"/>
    <w:basedOn w:val="864"/>
    <w:link w:val="696"/>
    <w:uiPriority w:val="9"/>
    <w:rPr>
      <w:rFonts w:ascii="Arial" w:hAnsi="Arial" w:eastAsia="Arial" w:cs="Arial"/>
      <w:b/>
      <w:bCs/>
      <w:sz w:val="24"/>
      <w:szCs w:val="24"/>
    </w:rPr>
  </w:style>
  <w:style w:type="paragraph" w:styleId="698">
    <w:name w:val="Heading 6"/>
    <w:basedOn w:val="863"/>
    <w:next w:val="863"/>
    <w:link w:val="69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9">
    <w:name w:val="Heading 6 Char"/>
    <w:basedOn w:val="864"/>
    <w:link w:val="698"/>
    <w:uiPriority w:val="9"/>
    <w:rPr>
      <w:rFonts w:ascii="Arial" w:hAnsi="Arial" w:eastAsia="Arial" w:cs="Arial"/>
      <w:b/>
      <w:bCs/>
      <w:sz w:val="22"/>
      <w:szCs w:val="22"/>
    </w:rPr>
  </w:style>
  <w:style w:type="paragraph" w:styleId="700">
    <w:name w:val="Heading 7"/>
    <w:basedOn w:val="863"/>
    <w:next w:val="863"/>
    <w:link w:val="70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1">
    <w:name w:val="Heading 7 Char"/>
    <w:basedOn w:val="864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863"/>
    <w:next w:val="863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3">
    <w:name w:val="Heading 8 Char"/>
    <w:basedOn w:val="86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paragraph" w:styleId="704">
    <w:name w:val="Heading 9"/>
    <w:basedOn w:val="863"/>
    <w:next w:val="863"/>
    <w:link w:val="70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5">
    <w:name w:val="Heading 9 Char"/>
    <w:basedOn w:val="864"/>
    <w:link w:val="704"/>
    <w:uiPriority w:val="9"/>
    <w:rPr>
      <w:rFonts w:ascii="Arial" w:hAnsi="Arial" w:eastAsia="Arial" w:cs="Arial"/>
      <w:i/>
      <w:iCs/>
      <w:sz w:val="21"/>
      <w:szCs w:val="21"/>
    </w:rPr>
  </w:style>
  <w:style w:type="paragraph" w:styleId="706">
    <w:name w:val="No Spacing"/>
    <w:uiPriority w:val="1"/>
    <w:qFormat/>
    <w:pPr>
      <w:spacing w:before="0" w:after="0" w:line="240" w:lineRule="auto"/>
    </w:pPr>
  </w:style>
  <w:style w:type="paragraph" w:styleId="707">
    <w:name w:val="Title"/>
    <w:basedOn w:val="863"/>
    <w:next w:val="863"/>
    <w:link w:val="7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8">
    <w:name w:val="Title Char"/>
    <w:basedOn w:val="864"/>
    <w:link w:val="707"/>
    <w:uiPriority w:val="10"/>
    <w:rPr>
      <w:sz w:val="48"/>
      <w:szCs w:val="48"/>
    </w:rPr>
  </w:style>
  <w:style w:type="paragraph" w:styleId="709">
    <w:name w:val="Subtitle"/>
    <w:basedOn w:val="863"/>
    <w:next w:val="863"/>
    <w:link w:val="710"/>
    <w:uiPriority w:val="11"/>
    <w:qFormat/>
    <w:pPr>
      <w:spacing w:before="200" w:after="200"/>
    </w:pPr>
    <w:rPr>
      <w:sz w:val="24"/>
      <w:szCs w:val="24"/>
    </w:rPr>
  </w:style>
  <w:style w:type="character" w:styleId="710">
    <w:name w:val="Subtitle Char"/>
    <w:basedOn w:val="864"/>
    <w:link w:val="709"/>
    <w:uiPriority w:val="11"/>
    <w:rPr>
      <w:sz w:val="24"/>
      <w:szCs w:val="24"/>
    </w:rPr>
  </w:style>
  <w:style w:type="paragraph" w:styleId="711">
    <w:name w:val="Quote"/>
    <w:basedOn w:val="863"/>
    <w:next w:val="863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63"/>
    <w:next w:val="863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character" w:styleId="715">
    <w:name w:val="Header Char"/>
    <w:basedOn w:val="864"/>
    <w:link w:val="868"/>
    <w:uiPriority w:val="99"/>
  </w:style>
  <w:style w:type="character" w:styleId="716">
    <w:name w:val="Footer Char"/>
    <w:basedOn w:val="864"/>
    <w:link w:val="870"/>
    <w:uiPriority w:val="99"/>
  </w:style>
  <w:style w:type="paragraph" w:styleId="717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8">
    <w:name w:val="Caption Char"/>
    <w:basedOn w:val="717"/>
    <w:link w:val="870"/>
    <w:uiPriority w:val="99"/>
  </w:style>
  <w:style w:type="table" w:styleId="719">
    <w:name w:val="Table Grid"/>
    <w:basedOn w:val="86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0">
    <w:name w:val="Table Grid Light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Plain Table 1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2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4">
    <w:name w:val="Plain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Plain Table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6">
    <w:name w:val="Grid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8">
    <w:name w:val="Grid Table 4 - Accent 1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9">
    <w:name w:val="Grid Table 4 - Accent 2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0">
    <w:name w:val="Grid Table 4 - Accent 3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1">
    <w:name w:val="Grid Table 4 - Accent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2">
    <w:name w:val="Grid Table 4 - Accent 5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3">
    <w:name w:val="Grid Table 4 - Accent 6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4">
    <w:name w:val="Grid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1">
    <w:name w:val="Grid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2">
    <w:name w:val="Grid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3">
    <w:name w:val="Grid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4">
    <w:name w:val="Grid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5">
    <w:name w:val="Grid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6">
    <w:name w:val="Grid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3">
    <w:name w:val="List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4">
    <w:name w:val="List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5">
    <w:name w:val="List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6">
    <w:name w:val="List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7">
    <w:name w:val="List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8">
    <w:name w:val="List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9">
    <w:name w:val="List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1">
    <w:name w:val="List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2">
    <w:name w:val="List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List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4">
    <w:name w:val="List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List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6">
    <w:name w:val="List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7">
    <w:name w:val="List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8">
    <w:name w:val="List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9">
    <w:name w:val="List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0">
    <w:name w:val="List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1">
    <w:name w:val="List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2">
    <w:name w:val="List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23">
    <w:name w:val="List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4">
    <w:name w:val="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6">
    <w:name w:val="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0">
    <w:name w:val="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 &amp; 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2">
    <w:name w:val="Bordered &amp; 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33">
    <w:name w:val="Bordered &amp; 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4">
    <w:name w:val="Bordered &amp; 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5">
    <w:name w:val="Bordered &amp; 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6">
    <w:name w:val="Bordered &amp; 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7">
    <w:name w:val="Bordered &amp; 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8">
    <w:name w:val="Bordered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9">
    <w:name w:val="Bordered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0">
    <w:name w:val="Bordered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1">
    <w:name w:val="Bordered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2">
    <w:name w:val="Bordered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3">
    <w:name w:val="Bordered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4">
    <w:name w:val="Bordered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5">
    <w:name w:val="Hyperlink"/>
    <w:uiPriority w:val="99"/>
    <w:unhideWhenUsed/>
    <w:rPr>
      <w:color w:val="0000ff" w:themeColor="hyperlink"/>
      <w:u w:val="single"/>
    </w:rPr>
  </w:style>
  <w:style w:type="paragraph" w:styleId="846">
    <w:name w:val="footnote text"/>
    <w:basedOn w:val="863"/>
    <w:link w:val="847"/>
    <w:uiPriority w:val="99"/>
    <w:semiHidden/>
    <w:unhideWhenUsed/>
    <w:pPr>
      <w:spacing w:after="40" w:line="240" w:lineRule="auto"/>
    </w:pPr>
    <w:rPr>
      <w:sz w:val="18"/>
    </w:rPr>
  </w:style>
  <w:style w:type="character" w:styleId="847">
    <w:name w:val="Footnote Text Char"/>
    <w:link w:val="846"/>
    <w:uiPriority w:val="99"/>
    <w:rPr>
      <w:sz w:val="18"/>
    </w:rPr>
  </w:style>
  <w:style w:type="character" w:styleId="848">
    <w:name w:val="footnote reference"/>
    <w:basedOn w:val="864"/>
    <w:uiPriority w:val="99"/>
    <w:unhideWhenUsed/>
    <w:rPr>
      <w:vertAlign w:val="superscript"/>
    </w:rPr>
  </w:style>
  <w:style w:type="paragraph" w:styleId="849">
    <w:name w:val="endnote text"/>
    <w:basedOn w:val="863"/>
    <w:link w:val="850"/>
    <w:uiPriority w:val="99"/>
    <w:semiHidden/>
    <w:unhideWhenUsed/>
    <w:pPr>
      <w:spacing w:after="0" w:line="240" w:lineRule="auto"/>
    </w:pPr>
    <w:rPr>
      <w:sz w:val="20"/>
    </w:rPr>
  </w:style>
  <w:style w:type="character" w:styleId="850">
    <w:name w:val="Endnote Text Char"/>
    <w:link w:val="849"/>
    <w:uiPriority w:val="99"/>
    <w:rPr>
      <w:sz w:val="20"/>
    </w:rPr>
  </w:style>
  <w:style w:type="character" w:styleId="851">
    <w:name w:val="endnote reference"/>
    <w:basedOn w:val="864"/>
    <w:uiPriority w:val="99"/>
    <w:semiHidden/>
    <w:unhideWhenUsed/>
    <w:rPr>
      <w:vertAlign w:val="superscript"/>
    </w:rPr>
  </w:style>
  <w:style w:type="paragraph" w:styleId="852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853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854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855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856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857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858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859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860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861">
    <w:name w:val="TOC Heading"/>
    <w:uiPriority w:val="39"/>
    <w:unhideWhenUsed/>
  </w:style>
  <w:style w:type="paragraph" w:styleId="862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qFormat/>
  </w:style>
  <w:style w:type="character" w:styleId="864" w:default="1">
    <w:name w:val="Default Paragraph Font"/>
    <w:uiPriority w:val="1"/>
    <w:unhideWhenUsed/>
  </w:style>
  <w:style w:type="table" w:styleId="8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6" w:default="1">
    <w:name w:val="No List"/>
    <w:uiPriority w:val="99"/>
    <w:semiHidden/>
    <w:unhideWhenUsed/>
  </w:style>
  <w:style w:type="paragraph" w:styleId="867">
    <w:name w:val="List Paragraph"/>
    <w:basedOn w:val="863"/>
    <w:uiPriority w:val="34"/>
    <w:qFormat/>
    <w:pPr>
      <w:contextualSpacing/>
      <w:ind w:left="720"/>
    </w:pPr>
  </w:style>
  <w:style w:type="paragraph" w:styleId="868">
    <w:name w:val="Header"/>
    <w:basedOn w:val="863"/>
    <w:link w:val="869"/>
    <w:uiPriority w:val="99"/>
    <w:unhideWhenUsed/>
    <w:pPr>
      <w:spacing w:after="0" w:line="240" w:lineRule="auto"/>
      <w:tabs>
        <w:tab w:val="center" w:pos="4513" w:leader="none"/>
        <w:tab w:val="right" w:pos="9026" w:leader="none"/>
      </w:tabs>
    </w:pPr>
  </w:style>
  <w:style w:type="character" w:styleId="869" w:customStyle="1">
    <w:name w:val="En-tête Car"/>
    <w:basedOn w:val="864"/>
    <w:link w:val="868"/>
    <w:uiPriority w:val="99"/>
  </w:style>
  <w:style w:type="paragraph" w:styleId="870">
    <w:name w:val="Footer"/>
    <w:basedOn w:val="863"/>
    <w:link w:val="871"/>
    <w:uiPriority w:val="99"/>
    <w:unhideWhenUsed/>
    <w:pPr>
      <w:spacing w:after="0" w:line="240" w:lineRule="auto"/>
      <w:tabs>
        <w:tab w:val="center" w:pos="4513" w:leader="none"/>
        <w:tab w:val="right" w:pos="9026" w:leader="none"/>
      </w:tabs>
    </w:pPr>
  </w:style>
  <w:style w:type="character" w:styleId="871" w:customStyle="1">
    <w:name w:val="Pied de page Car"/>
    <w:basedOn w:val="864"/>
    <w:link w:val="870"/>
    <w:uiPriority w:val="99"/>
  </w:style>
  <w:style w:type="numbering" w:styleId="872" w:customStyle="1">
    <w:name w:val="Liste actuelle1"/>
    <w:uiPriority w:val="99"/>
    <w:pPr>
      <w:numPr>
        <w:ilvl w:val="0"/>
        <w:numId w:val="10"/>
      </w:numPr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COUEDEL</dc:creator>
  <cp:keywords/>
  <dc:description/>
  <cp:lastModifiedBy>Anonyme</cp:lastModifiedBy>
  <cp:revision>181</cp:revision>
  <dcterms:created xsi:type="dcterms:W3CDTF">2023-11-28T13:35:00Z</dcterms:created>
  <dcterms:modified xsi:type="dcterms:W3CDTF">2024-03-07T15:10:20Z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18abc17e-eee0-4776-ba8b-d7a6623651c8</vt:lpwstr>
  </property>
</Properties>
</file>