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04D6" w14:textId="77777777" w:rsidR="003D7AFF" w:rsidRPr="003D7AFF" w:rsidRDefault="003D7AFF" w:rsidP="003D7AFF">
      <w:pPr>
        <w:jc w:val="center"/>
        <w:rPr>
          <w:b/>
          <w:bCs/>
          <w:u w:val="single"/>
        </w:rPr>
      </w:pPr>
      <w:r w:rsidRPr="003D7AFF">
        <w:rPr>
          <w:b/>
          <w:bCs/>
          <w:u w:val="single"/>
        </w:rPr>
        <w:t>Analyzing the Complexity of the U.S. Tax Code: Pre- and Post-TCJA Comparison</w:t>
      </w:r>
    </w:p>
    <w:p w14:paraId="0ED75625" w14:textId="77777777" w:rsidR="003D7AFF" w:rsidRPr="003D7AFF" w:rsidRDefault="003D7AFF" w:rsidP="003D7AFF">
      <w:pPr>
        <w:jc w:val="both"/>
        <w:rPr>
          <w:b/>
          <w:bCs/>
        </w:rPr>
      </w:pPr>
      <w:r w:rsidRPr="003D7AFF">
        <w:rPr>
          <w:b/>
          <w:bCs/>
        </w:rPr>
        <w:t>Objective:</w:t>
      </w:r>
    </w:p>
    <w:p w14:paraId="76107918" w14:textId="77777777" w:rsidR="003D7AFF" w:rsidRDefault="003D7AFF" w:rsidP="003D7AFF">
      <w:pPr>
        <w:jc w:val="both"/>
      </w:pPr>
      <w:r w:rsidRPr="003D7AFF">
        <w:t>The goal of this project is to quantitatively and qualitatively compare the complexity of the U.S. Tax Code before and after the enactment of the Tax Cuts and Jobs Act (TCJA) of 2017. By leveraging data science methodologies, we aim to identify key trends and insights into how the TCJA affected the structure and comprehensibility of the Tax Code.</w:t>
      </w:r>
    </w:p>
    <w:p w14:paraId="5C716824" w14:textId="77777777" w:rsidR="003D7AFF" w:rsidRPr="003D7AFF" w:rsidRDefault="003D7AFF" w:rsidP="003D7AFF">
      <w:pPr>
        <w:jc w:val="both"/>
        <w:rPr>
          <w:b/>
          <w:bCs/>
        </w:rPr>
      </w:pPr>
      <w:r w:rsidRPr="003D7AFF">
        <w:rPr>
          <w:b/>
          <w:bCs/>
        </w:rPr>
        <w:t>Key Tasks:</w:t>
      </w:r>
    </w:p>
    <w:p w14:paraId="05B51768" w14:textId="77777777" w:rsidR="003D7AFF" w:rsidRPr="003D7AFF" w:rsidRDefault="003D7AFF" w:rsidP="003D7AFF">
      <w:pPr>
        <w:numPr>
          <w:ilvl w:val="0"/>
          <w:numId w:val="1"/>
        </w:numPr>
        <w:jc w:val="both"/>
      </w:pPr>
      <w:r w:rsidRPr="003D7AFF">
        <w:rPr>
          <w:b/>
          <w:bCs/>
        </w:rPr>
        <w:t>Word Count Analysis</w:t>
      </w:r>
      <w:r w:rsidRPr="003D7AFF">
        <w:t>:</w:t>
      </w:r>
    </w:p>
    <w:p w14:paraId="0F4F9A98" w14:textId="3910A6EC" w:rsidR="003D7AFF" w:rsidRPr="003D7AFF" w:rsidRDefault="003D7AFF" w:rsidP="003D7AFF">
      <w:pPr>
        <w:numPr>
          <w:ilvl w:val="1"/>
          <w:numId w:val="1"/>
        </w:numPr>
        <w:tabs>
          <w:tab w:val="num" w:pos="1440"/>
        </w:tabs>
        <w:jc w:val="both"/>
      </w:pPr>
      <w:r w:rsidRPr="003D7AFF">
        <w:t>Measure the total word count of the Tax Code before and after the TCJA to assess any significant changes in length</w:t>
      </w:r>
      <w:r>
        <w:t xml:space="preserve"> (need to consider whether we want to count all words or only substantive ones, </w:t>
      </w:r>
      <w:r w:rsidRPr="003D7AFF">
        <w:rPr>
          <w:i/>
          <w:iCs/>
        </w:rPr>
        <w:t>e.g.</w:t>
      </w:r>
      <w:r>
        <w:t>, no “if”, “and”, etc.)</w:t>
      </w:r>
    </w:p>
    <w:p w14:paraId="7BEA7A54" w14:textId="77777777" w:rsidR="003D7AFF" w:rsidRPr="003D7AFF" w:rsidRDefault="003D7AFF" w:rsidP="003D7AFF">
      <w:pPr>
        <w:numPr>
          <w:ilvl w:val="0"/>
          <w:numId w:val="1"/>
        </w:numPr>
        <w:jc w:val="both"/>
      </w:pPr>
      <w:r w:rsidRPr="003D7AFF">
        <w:rPr>
          <w:b/>
          <w:bCs/>
        </w:rPr>
        <w:t>Cross-Reference Mapping</w:t>
      </w:r>
      <w:r w:rsidRPr="003D7AFF">
        <w:t>:</w:t>
      </w:r>
    </w:p>
    <w:p w14:paraId="6D63E2CC" w14:textId="77777777" w:rsidR="003D7AFF" w:rsidRPr="003D7AFF" w:rsidRDefault="003D7AFF" w:rsidP="003D7AFF">
      <w:pPr>
        <w:numPr>
          <w:ilvl w:val="1"/>
          <w:numId w:val="1"/>
        </w:numPr>
        <w:tabs>
          <w:tab w:val="num" w:pos="1440"/>
        </w:tabs>
        <w:jc w:val="both"/>
      </w:pPr>
      <w:r w:rsidRPr="003D7AFF">
        <w:t>Count and map cross-references within the Tax Code (</w:t>
      </w:r>
      <w:r w:rsidRPr="003D7AFF">
        <w:rPr>
          <w:i/>
          <w:iCs/>
        </w:rPr>
        <w:t>e.g.</w:t>
      </w:r>
      <w:r w:rsidRPr="003D7AFF">
        <w:t>, references to other sections, subsections, or regulations) to gauge interconnectedness and potential for complexity.</w:t>
      </w:r>
    </w:p>
    <w:p w14:paraId="2C0096BC" w14:textId="77777777" w:rsidR="003D7AFF" w:rsidRPr="003D7AFF" w:rsidRDefault="003D7AFF" w:rsidP="003D7AFF">
      <w:pPr>
        <w:numPr>
          <w:ilvl w:val="0"/>
          <w:numId w:val="1"/>
        </w:numPr>
        <w:jc w:val="both"/>
      </w:pPr>
      <w:r w:rsidRPr="003D7AFF">
        <w:rPr>
          <w:b/>
          <w:bCs/>
        </w:rPr>
        <w:t>Variable-Based Complexity Metrics</w:t>
      </w:r>
      <w:r w:rsidRPr="003D7AFF">
        <w:t>:</w:t>
      </w:r>
    </w:p>
    <w:p w14:paraId="2DA3700E" w14:textId="77777777" w:rsidR="003D7AFF" w:rsidRPr="003D7AFF" w:rsidRDefault="003D7AFF" w:rsidP="003D7AFF">
      <w:pPr>
        <w:numPr>
          <w:ilvl w:val="1"/>
          <w:numId w:val="1"/>
        </w:numPr>
        <w:tabs>
          <w:tab w:val="num" w:pos="1440"/>
        </w:tabs>
        <w:jc w:val="both"/>
      </w:pPr>
      <w:r w:rsidRPr="003D7AFF">
        <w:t>Analyze changes in the number of defined terms, exceptions, and special rules introduced by the TCJA.</w:t>
      </w:r>
    </w:p>
    <w:p w14:paraId="720EA70B" w14:textId="77777777" w:rsidR="003D7AFF" w:rsidRPr="003D7AFF" w:rsidRDefault="003D7AFF" w:rsidP="003D7AFF">
      <w:pPr>
        <w:numPr>
          <w:ilvl w:val="1"/>
          <w:numId w:val="1"/>
        </w:numPr>
        <w:tabs>
          <w:tab w:val="num" w:pos="1440"/>
        </w:tabs>
        <w:jc w:val="both"/>
      </w:pPr>
      <w:r w:rsidRPr="003D7AFF">
        <w:t>Identify provisions with layered conditions (</w:t>
      </w:r>
      <w:r w:rsidRPr="003D7AFF">
        <w:rPr>
          <w:i/>
          <w:iCs/>
        </w:rPr>
        <w:t>e.g.</w:t>
      </w:r>
      <w:r w:rsidRPr="003D7AFF">
        <w:t>, "if-then" clauses) and quantify their prevalence.</w:t>
      </w:r>
    </w:p>
    <w:p w14:paraId="128F3205" w14:textId="77777777" w:rsidR="003D7AFF" w:rsidRPr="003D7AFF" w:rsidRDefault="003D7AFF" w:rsidP="003D7AFF">
      <w:pPr>
        <w:numPr>
          <w:ilvl w:val="0"/>
          <w:numId w:val="1"/>
        </w:numPr>
        <w:jc w:val="both"/>
      </w:pPr>
      <w:r w:rsidRPr="003D7AFF">
        <w:rPr>
          <w:b/>
          <w:bCs/>
        </w:rPr>
        <w:t>Structural Complexity</w:t>
      </w:r>
      <w:r w:rsidRPr="003D7AFF">
        <w:t>:</w:t>
      </w:r>
    </w:p>
    <w:p w14:paraId="1A7EAD41" w14:textId="77777777" w:rsidR="003D7AFF" w:rsidRPr="003D7AFF" w:rsidRDefault="003D7AFF" w:rsidP="003D7AFF">
      <w:pPr>
        <w:numPr>
          <w:ilvl w:val="1"/>
          <w:numId w:val="1"/>
        </w:numPr>
        <w:tabs>
          <w:tab w:val="num" w:pos="1440"/>
        </w:tabs>
        <w:jc w:val="both"/>
      </w:pPr>
      <w:r w:rsidRPr="003D7AFF">
        <w:t>Map the hierarchical structure of sections, subsections, and subparts before and after the TCJA to understand any shifts in organizational complexity.</w:t>
      </w:r>
    </w:p>
    <w:p w14:paraId="08C95C60" w14:textId="77777777" w:rsidR="003D7AFF" w:rsidRPr="003D7AFF" w:rsidRDefault="003D7AFF" w:rsidP="003D7AFF">
      <w:pPr>
        <w:numPr>
          <w:ilvl w:val="0"/>
          <w:numId w:val="1"/>
        </w:numPr>
        <w:jc w:val="both"/>
      </w:pPr>
      <w:r w:rsidRPr="003D7AFF">
        <w:rPr>
          <w:b/>
          <w:bCs/>
        </w:rPr>
        <w:lastRenderedPageBreak/>
        <w:t>Comparative Linguistic Analysis</w:t>
      </w:r>
      <w:r w:rsidRPr="003D7AFF">
        <w:t>:</w:t>
      </w:r>
    </w:p>
    <w:p w14:paraId="2FE98679" w14:textId="77777777" w:rsidR="003D7AFF" w:rsidRPr="003D7AFF" w:rsidRDefault="003D7AFF" w:rsidP="003D7AFF">
      <w:pPr>
        <w:numPr>
          <w:ilvl w:val="1"/>
          <w:numId w:val="1"/>
        </w:numPr>
        <w:tabs>
          <w:tab w:val="num" w:pos="1440"/>
        </w:tabs>
        <w:jc w:val="both"/>
      </w:pPr>
      <w:r w:rsidRPr="003D7AFF">
        <w:t>Use natural language processing (NLP) to assess readability scores (</w:t>
      </w:r>
      <w:r w:rsidRPr="003D7AFF">
        <w:rPr>
          <w:i/>
          <w:iCs/>
        </w:rPr>
        <w:t>e.g.</w:t>
      </w:r>
      <w:r w:rsidRPr="003D7AFF">
        <w:t>, Flesch-Kincaid) and linguistic patterns that may reflect increased or decreased complexity.</w:t>
      </w:r>
    </w:p>
    <w:p w14:paraId="2CD8A141" w14:textId="77777777" w:rsidR="003D7AFF" w:rsidRPr="003D7AFF" w:rsidRDefault="003D7AFF" w:rsidP="003D7AFF">
      <w:pPr>
        <w:numPr>
          <w:ilvl w:val="1"/>
          <w:numId w:val="1"/>
        </w:numPr>
        <w:tabs>
          <w:tab w:val="num" w:pos="1440"/>
        </w:tabs>
        <w:jc w:val="both"/>
      </w:pPr>
      <w:r w:rsidRPr="003D7AFF">
        <w:t>Identify key phrases or jargon introduced by the TCJA and evaluate their impact on accessibility.</w:t>
      </w:r>
    </w:p>
    <w:p w14:paraId="0DAF1787" w14:textId="77777777" w:rsidR="003D7AFF" w:rsidRPr="003D7AFF" w:rsidRDefault="003D7AFF" w:rsidP="003D7AFF">
      <w:pPr>
        <w:jc w:val="both"/>
        <w:rPr>
          <w:b/>
          <w:bCs/>
        </w:rPr>
      </w:pPr>
      <w:r w:rsidRPr="003D7AFF">
        <w:rPr>
          <w:b/>
          <w:bCs/>
        </w:rPr>
        <w:t>Suggested Approach:</w:t>
      </w:r>
    </w:p>
    <w:p w14:paraId="11265283" w14:textId="70D2DF25" w:rsidR="003D7AFF" w:rsidRPr="003D7AFF" w:rsidRDefault="003D7AFF" w:rsidP="003D7AFF">
      <w:pPr>
        <w:numPr>
          <w:ilvl w:val="0"/>
          <w:numId w:val="2"/>
        </w:numPr>
        <w:jc w:val="both"/>
      </w:pPr>
      <w:r w:rsidRPr="003D7AFF">
        <w:t>Utilize publicly available versions of the Tax Code for the pre-TCJA and post-TCJA periods</w:t>
      </w:r>
      <w:r>
        <w:t xml:space="preserve"> (reference the website discussed during the Zoom call)</w:t>
      </w:r>
      <w:r w:rsidRPr="003D7AFF">
        <w:t>.</w:t>
      </w:r>
    </w:p>
    <w:p w14:paraId="06383579" w14:textId="77777777" w:rsidR="003D7AFF" w:rsidRPr="003D7AFF" w:rsidRDefault="003D7AFF" w:rsidP="003D7AFF">
      <w:pPr>
        <w:numPr>
          <w:ilvl w:val="0"/>
          <w:numId w:val="2"/>
        </w:numPr>
        <w:jc w:val="both"/>
      </w:pPr>
      <w:r w:rsidRPr="003D7AFF">
        <w:t>Develop scripts to parse the text and extract metrics such as word counts, cross-references, and readability scores.</w:t>
      </w:r>
    </w:p>
    <w:p w14:paraId="35681A2E" w14:textId="77777777" w:rsidR="003D7AFF" w:rsidRPr="003D7AFF" w:rsidRDefault="003D7AFF" w:rsidP="003D7AFF">
      <w:pPr>
        <w:numPr>
          <w:ilvl w:val="0"/>
          <w:numId w:val="2"/>
        </w:numPr>
        <w:jc w:val="both"/>
      </w:pPr>
      <w:r w:rsidRPr="003D7AFF">
        <w:t>Visualize findings with comparative graphs and charts to highlight key differences.</w:t>
      </w:r>
    </w:p>
    <w:p w14:paraId="75C12B87" w14:textId="77777777" w:rsidR="003D7AFF" w:rsidRPr="003D7AFF" w:rsidRDefault="003D7AFF" w:rsidP="003D7AFF">
      <w:pPr>
        <w:jc w:val="both"/>
        <w:rPr>
          <w:b/>
          <w:bCs/>
        </w:rPr>
      </w:pPr>
      <w:r w:rsidRPr="003D7AFF">
        <w:rPr>
          <w:b/>
          <w:bCs/>
        </w:rPr>
        <w:t>Deliverables:</w:t>
      </w:r>
    </w:p>
    <w:p w14:paraId="0EAFCB90" w14:textId="77777777" w:rsidR="003D7AFF" w:rsidRPr="003D7AFF" w:rsidRDefault="003D7AFF" w:rsidP="003D7AFF">
      <w:pPr>
        <w:numPr>
          <w:ilvl w:val="0"/>
          <w:numId w:val="3"/>
        </w:numPr>
        <w:jc w:val="both"/>
      </w:pPr>
      <w:r w:rsidRPr="003D7AFF">
        <w:t>Quantitative metrics comparing the pre- and post-TCJA Tax Code.</w:t>
      </w:r>
    </w:p>
    <w:p w14:paraId="09210DFC" w14:textId="77777777" w:rsidR="003D7AFF" w:rsidRPr="003D7AFF" w:rsidRDefault="003D7AFF" w:rsidP="003D7AFF">
      <w:pPr>
        <w:numPr>
          <w:ilvl w:val="0"/>
          <w:numId w:val="3"/>
        </w:numPr>
        <w:jc w:val="both"/>
      </w:pPr>
      <w:r w:rsidRPr="003D7AFF">
        <w:t>Data visualizations showcasing changes in length, structure, and readability.</w:t>
      </w:r>
    </w:p>
    <w:p w14:paraId="542238A3" w14:textId="77777777" w:rsidR="003D7AFF" w:rsidRPr="003D7AFF" w:rsidRDefault="003D7AFF" w:rsidP="003D7AFF">
      <w:pPr>
        <w:numPr>
          <w:ilvl w:val="0"/>
          <w:numId w:val="3"/>
        </w:numPr>
        <w:jc w:val="both"/>
      </w:pPr>
      <w:r w:rsidRPr="003D7AFF">
        <w:t>Insights into how the TCJA influenced the complexity of the U.S. Tax Code, with a focus on practical implications for taxpayers and policymakers.</w:t>
      </w:r>
    </w:p>
    <w:p w14:paraId="5E49946D" w14:textId="77777777" w:rsidR="003D7AFF" w:rsidRPr="003D7AFF" w:rsidRDefault="003D7AFF" w:rsidP="003D7AFF">
      <w:pPr>
        <w:jc w:val="both"/>
      </w:pPr>
    </w:p>
    <w:p w14:paraId="574C4946" w14:textId="77777777" w:rsidR="00A9432C" w:rsidRDefault="00A9432C"/>
    <w:sectPr w:rsidR="00A943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4D7CB" w14:textId="77777777" w:rsidR="003D7AFF" w:rsidRDefault="003D7AFF" w:rsidP="003D7AFF">
      <w:pPr>
        <w:spacing w:line="240" w:lineRule="auto"/>
      </w:pPr>
      <w:r>
        <w:separator/>
      </w:r>
    </w:p>
  </w:endnote>
  <w:endnote w:type="continuationSeparator" w:id="0">
    <w:p w14:paraId="6B5D80C7" w14:textId="77777777" w:rsidR="003D7AFF" w:rsidRDefault="003D7AFF" w:rsidP="003D7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050859"/>
      <w:docPartObj>
        <w:docPartGallery w:val="Page Numbers (Bottom of Page)"/>
        <w:docPartUnique/>
      </w:docPartObj>
    </w:sdtPr>
    <w:sdtEndPr>
      <w:rPr>
        <w:noProof/>
      </w:rPr>
    </w:sdtEndPr>
    <w:sdtContent>
      <w:p w14:paraId="0465D7C9" w14:textId="532C3D07" w:rsidR="003D7AFF" w:rsidRDefault="003D7A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79A4A6" w14:textId="77777777" w:rsidR="003D7AFF" w:rsidRDefault="003D7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BB173" w14:textId="77777777" w:rsidR="003D7AFF" w:rsidRDefault="003D7AFF" w:rsidP="003D7AFF">
      <w:pPr>
        <w:spacing w:line="240" w:lineRule="auto"/>
      </w:pPr>
      <w:r>
        <w:separator/>
      </w:r>
    </w:p>
  </w:footnote>
  <w:footnote w:type="continuationSeparator" w:id="0">
    <w:p w14:paraId="608E1DB3" w14:textId="77777777" w:rsidR="003D7AFF" w:rsidRDefault="003D7AFF" w:rsidP="003D7A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A59BA"/>
    <w:multiLevelType w:val="multilevel"/>
    <w:tmpl w:val="F72E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23AA7"/>
    <w:multiLevelType w:val="multilevel"/>
    <w:tmpl w:val="D30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72063"/>
    <w:multiLevelType w:val="multilevel"/>
    <w:tmpl w:val="7F1E31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0489A"/>
    <w:multiLevelType w:val="multilevel"/>
    <w:tmpl w:val="E53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770300">
    <w:abstractNumId w:val="2"/>
  </w:num>
  <w:num w:numId="2" w16cid:durableId="1869097886">
    <w:abstractNumId w:val="1"/>
  </w:num>
  <w:num w:numId="3" w16cid:durableId="106432898">
    <w:abstractNumId w:val="0"/>
  </w:num>
  <w:num w:numId="4" w16cid:durableId="1820996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FF"/>
    <w:rsid w:val="00151637"/>
    <w:rsid w:val="003D7AFF"/>
    <w:rsid w:val="00432A2E"/>
    <w:rsid w:val="004444BB"/>
    <w:rsid w:val="0050140F"/>
    <w:rsid w:val="005A7A6E"/>
    <w:rsid w:val="008D0596"/>
    <w:rsid w:val="00910956"/>
    <w:rsid w:val="00983DB1"/>
    <w:rsid w:val="00A9432C"/>
    <w:rsid w:val="00B925A3"/>
    <w:rsid w:val="00EA6098"/>
    <w:rsid w:val="00ED2712"/>
    <w:rsid w:val="00FB4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6B5E"/>
  <w15:chartTrackingRefBased/>
  <w15:docId w15:val="{1CC7C39F-92DE-4B2C-A984-1070AC9F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C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501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A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A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7A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7AF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7AF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7AF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7AF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4444BB"/>
    <w:pPr>
      <w:spacing w:line="240" w:lineRule="auto"/>
    </w:pPr>
    <w:rPr>
      <w:sz w:val="20"/>
      <w:szCs w:val="20"/>
    </w:rPr>
  </w:style>
  <w:style w:type="character" w:customStyle="1" w:styleId="FootnoteTextChar">
    <w:name w:val="Footnote Text Char"/>
    <w:basedOn w:val="DefaultParagraphFont"/>
    <w:link w:val="FootnoteText"/>
    <w:uiPriority w:val="99"/>
    <w:rsid w:val="004444BB"/>
    <w:rPr>
      <w:rFonts w:ascii="Times New Roman" w:hAnsi="Times New Roman"/>
      <w:sz w:val="20"/>
      <w:szCs w:val="20"/>
    </w:rPr>
  </w:style>
  <w:style w:type="paragraph" w:styleId="Footer">
    <w:name w:val="footer"/>
    <w:basedOn w:val="Normal"/>
    <w:link w:val="FooterChar"/>
    <w:uiPriority w:val="99"/>
    <w:unhideWhenUsed/>
    <w:rsid w:val="005A7A6E"/>
    <w:pPr>
      <w:tabs>
        <w:tab w:val="center" w:pos="4680"/>
        <w:tab w:val="right" w:pos="9360"/>
      </w:tabs>
      <w:spacing w:line="240" w:lineRule="auto"/>
    </w:pPr>
    <w:rPr>
      <w:sz w:val="22"/>
    </w:rPr>
  </w:style>
  <w:style w:type="character" w:customStyle="1" w:styleId="FooterChar">
    <w:name w:val="Footer Char"/>
    <w:basedOn w:val="DefaultParagraphFont"/>
    <w:link w:val="Footer"/>
    <w:uiPriority w:val="99"/>
    <w:rsid w:val="005A7A6E"/>
    <w:rPr>
      <w:rFonts w:ascii="Times New Roman" w:hAnsi="Times New Roman"/>
    </w:rPr>
  </w:style>
  <w:style w:type="paragraph" w:styleId="TOC1">
    <w:name w:val="toc 1"/>
    <w:basedOn w:val="Normal"/>
    <w:next w:val="Normal"/>
    <w:autoRedefine/>
    <w:uiPriority w:val="39"/>
    <w:unhideWhenUsed/>
    <w:rsid w:val="00910956"/>
    <w:pPr>
      <w:spacing w:after="100" w:line="259" w:lineRule="auto"/>
    </w:pPr>
    <w:rPr>
      <w:rFonts w:asciiTheme="majorBidi" w:hAnsiTheme="majorBidi"/>
    </w:rPr>
  </w:style>
  <w:style w:type="paragraph" w:styleId="TOC2">
    <w:name w:val="toc 2"/>
    <w:basedOn w:val="Normal"/>
    <w:next w:val="Normal"/>
    <w:autoRedefine/>
    <w:uiPriority w:val="39"/>
    <w:unhideWhenUsed/>
    <w:rsid w:val="00910956"/>
    <w:pPr>
      <w:spacing w:after="100" w:line="259" w:lineRule="auto"/>
      <w:ind w:left="220"/>
    </w:pPr>
  </w:style>
  <w:style w:type="character" w:customStyle="1" w:styleId="Heading1Char">
    <w:name w:val="Heading 1 Char"/>
    <w:basedOn w:val="DefaultParagraphFont"/>
    <w:link w:val="Heading1"/>
    <w:uiPriority w:val="9"/>
    <w:rsid w:val="0050140F"/>
    <w:rPr>
      <w:rFonts w:asciiTheme="majorHAnsi" w:eastAsiaTheme="majorEastAsia" w:hAnsiTheme="majorHAnsi" w:cstheme="majorBidi"/>
      <w:color w:val="0F4761" w:themeColor="accent1" w:themeShade="BF"/>
      <w:sz w:val="40"/>
      <w:szCs w:val="40"/>
    </w:rPr>
  </w:style>
  <w:style w:type="paragraph" w:styleId="TOCHeading">
    <w:name w:val="TOC Heading"/>
    <w:basedOn w:val="Heading1"/>
    <w:next w:val="Normal"/>
    <w:uiPriority w:val="39"/>
    <w:unhideWhenUsed/>
    <w:qFormat/>
    <w:rsid w:val="0050140F"/>
    <w:pPr>
      <w:spacing w:before="240" w:after="0" w:line="259" w:lineRule="auto"/>
      <w:outlineLvl w:val="9"/>
    </w:pPr>
    <w:rPr>
      <w:rFonts w:ascii="Times New Roman" w:hAnsi="Times New Roman"/>
      <w:kern w:val="0"/>
      <w:sz w:val="32"/>
      <w:szCs w:val="32"/>
      <w14:ligatures w14:val="none"/>
    </w:rPr>
  </w:style>
  <w:style w:type="paragraph" w:styleId="TOC3">
    <w:name w:val="toc 3"/>
    <w:basedOn w:val="Normal"/>
    <w:next w:val="Normal"/>
    <w:autoRedefine/>
    <w:uiPriority w:val="39"/>
    <w:unhideWhenUsed/>
    <w:rsid w:val="00910956"/>
    <w:pPr>
      <w:spacing w:after="100" w:line="259" w:lineRule="auto"/>
      <w:ind w:left="440"/>
    </w:pPr>
  </w:style>
  <w:style w:type="character" w:customStyle="1" w:styleId="Heading2Char">
    <w:name w:val="Heading 2 Char"/>
    <w:basedOn w:val="DefaultParagraphFont"/>
    <w:link w:val="Heading2"/>
    <w:uiPriority w:val="9"/>
    <w:semiHidden/>
    <w:rsid w:val="003D7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AF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D7AF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D7AF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D7AF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D7AF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D7AF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D7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A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7AFF"/>
    <w:rPr>
      <w:rFonts w:ascii="Times New Roman" w:hAnsi="Times New Roman"/>
      <w:i/>
      <w:iCs/>
      <w:color w:val="404040" w:themeColor="text1" w:themeTint="BF"/>
      <w:sz w:val="24"/>
    </w:rPr>
  </w:style>
  <w:style w:type="paragraph" w:styleId="ListParagraph">
    <w:name w:val="List Paragraph"/>
    <w:basedOn w:val="Normal"/>
    <w:uiPriority w:val="34"/>
    <w:qFormat/>
    <w:rsid w:val="003D7AFF"/>
    <w:pPr>
      <w:ind w:left="720"/>
      <w:contextualSpacing/>
    </w:pPr>
  </w:style>
  <w:style w:type="character" w:styleId="IntenseEmphasis">
    <w:name w:val="Intense Emphasis"/>
    <w:basedOn w:val="DefaultParagraphFont"/>
    <w:uiPriority w:val="21"/>
    <w:qFormat/>
    <w:rsid w:val="003D7AFF"/>
    <w:rPr>
      <w:i/>
      <w:iCs/>
      <w:color w:val="0F4761" w:themeColor="accent1" w:themeShade="BF"/>
    </w:rPr>
  </w:style>
  <w:style w:type="paragraph" w:styleId="IntenseQuote">
    <w:name w:val="Intense Quote"/>
    <w:basedOn w:val="Normal"/>
    <w:next w:val="Normal"/>
    <w:link w:val="IntenseQuoteChar"/>
    <w:uiPriority w:val="30"/>
    <w:qFormat/>
    <w:rsid w:val="003D7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AF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D7AFF"/>
    <w:rPr>
      <w:b/>
      <w:bCs/>
      <w:smallCaps/>
      <w:color w:val="0F4761" w:themeColor="accent1" w:themeShade="BF"/>
      <w:spacing w:val="5"/>
    </w:rPr>
  </w:style>
  <w:style w:type="paragraph" w:styleId="Header">
    <w:name w:val="header"/>
    <w:basedOn w:val="Normal"/>
    <w:link w:val="HeaderChar"/>
    <w:uiPriority w:val="99"/>
    <w:unhideWhenUsed/>
    <w:rsid w:val="003D7AFF"/>
    <w:pPr>
      <w:tabs>
        <w:tab w:val="center" w:pos="4680"/>
        <w:tab w:val="right" w:pos="9360"/>
      </w:tabs>
      <w:spacing w:line="240" w:lineRule="auto"/>
    </w:pPr>
  </w:style>
  <w:style w:type="character" w:customStyle="1" w:styleId="HeaderChar">
    <w:name w:val="Header Char"/>
    <w:basedOn w:val="DefaultParagraphFont"/>
    <w:link w:val="Header"/>
    <w:uiPriority w:val="99"/>
    <w:rsid w:val="003D7A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7835">
      <w:bodyDiv w:val="1"/>
      <w:marLeft w:val="0"/>
      <w:marRight w:val="0"/>
      <w:marTop w:val="0"/>
      <w:marBottom w:val="0"/>
      <w:divBdr>
        <w:top w:val="none" w:sz="0" w:space="0" w:color="auto"/>
        <w:left w:val="none" w:sz="0" w:space="0" w:color="auto"/>
        <w:bottom w:val="none" w:sz="0" w:space="0" w:color="auto"/>
        <w:right w:val="none" w:sz="0" w:space="0" w:color="auto"/>
      </w:divBdr>
    </w:div>
    <w:div w:id="370303982">
      <w:bodyDiv w:val="1"/>
      <w:marLeft w:val="0"/>
      <w:marRight w:val="0"/>
      <w:marTop w:val="0"/>
      <w:marBottom w:val="0"/>
      <w:divBdr>
        <w:top w:val="none" w:sz="0" w:space="0" w:color="auto"/>
        <w:left w:val="none" w:sz="0" w:space="0" w:color="auto"/>
        <w:bottom w:val="none" w:sz="0" w:space="0" w:color="auto"/>
        <w:right w:val="none" w:sz="0" w:space="0" w:color="auto"/>
      </w:divBdr>
    </w:div>
    <w:div w:id="610476261">
      <w:bodyDiv w:val="1"/>
      <w:marLeft w:val="0"/>
      <w:marRight w:val="0"/>
      <w:marTop w:val="0"/>
      <w:marBottom w:val="0"/>
      <w:divBdr>
        <w:top w:val="none" w:sz="0" w:space="0" w:color="auto"/>
        <w:left w:val="none" w:sz="0" w:space="0" w:color="auto"/>
        <w:bottom w:val="none" w:sz="0" w:space="0" w:color="auto"/>
        <w:right w:val="none" w:sz="0" w:space="0" w:color="auto"/>
      </w:divBdr>
    </w:div>
    <w:div w:id="68872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339</Words>
  <Characters>1933</Characters>
  <Application>Microsoft Office Word</Application>
  <DocSecurity>0</DocSecurity>
  <Lines>16</Lines>
  <Paragraphs>4</Paragraphs>
  <ScaleCrop>false</ScaleCrop>
  <Company>The University of Akron</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Narotzki</dc:creator>
  <cp:keywords/>
  <dc:description/>
  <cp:lastModifiedBy>Doron Narotzki</cp:lastModifiedBy>
  <cp:revision>1</cp:revision>
  <dcterms:created xsi:type="dcterms:W3CDTF">2024-11-26T14:06:00Z</dcterms:created>
  <dcterms:modified xsi:type="dcterms:W3CDTF">2024-11-26T14:11:00Z</dcterms:modified>
</cp:coreProperties>
</file>