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B1736"/>
          <w:sz w:val="44"/>
        </w:rPr>
        <w:t>InvenSight — Stock Prediction &amp; Inventory Forecasting Architecture</w:t>
      </w:r>
    </w:p>
    <w:p>
      <w:pPr>
        <w:spacing w:before="0" w:after="320"/>
      </w:pPr>
      <w:r>
        <w:rPr>
          <w:rFonts w:ascii="Arial" w:hAnsi="Arial"/>
          <w:i/>
          <w:color w:val="6B7280"/>
          <w:sz w:val="24"/>
        </w:rPr>
        <w:t>Technical Documentation, Algorithmic Engine &amp; Operational Guide for JonBrix Motor Parts</w:t>
      </w:r>
    </w:p>
    <w:tbl>
      <w:tblPr>
        <w:tblW w:type="auto" w:w="0"/>
        <w:jc w:val="center"/>
        <w:tblLook w:firstColumn="1" w:firstRow="1" w:lastColumn="0" w:lastRow="0" w:noHBand="0" w:noVBand="1" w:val="04A0"/>
      </w:tblPr>
      <w:tblGrid>
        <w:gridCol w:w="2340"/>
        <w:gridCol w:w="2340"/>
        <w:gridCol w:w="2340"/>
        <w:gridCol w:w="2340"/>
      </w:tblGrid>
      <w:tr>
        <w:tc>
          <w:tcPr>
            <w:tcW w:type="dxa" w:w="2340"/>
            <w:shd w:fill="F8FAFC"/>
            <w:tcMar>
              <w:top w:w="80" w:type="dxa"/>
              <w:bottom w:w="80" w:type="dxa"/>
              <w:left w:w="100" w:type="dxa"/>
              <w:right w:w="100" w:type="dxa"/>
            </w:tcMar>
          </w:tcPr>
          <w:p>
            <w:pPr>
              <w:spacing w:before="0" w:after="0"/>
            </w:pPr>
            <w:r>
              <w:rPr>
                <w:b/>
                <w:color w:val="6B7280"/>
                <w:sz w:val="17"/>
              </w:rPr>
              <w:t>System Version</w:t>
              <w:br/>
            </w:r>
            <w:r>
              <w:rPr>
                <w:b/>
                <w:color w:val="0B1736"/>
                <w:sz w:val="19"/>
              </w:rPr>
              <w:t>InvenSight v1.0 Production</w:t>
            </w:r>
          </w:p>
        </w:tc>
        <w:tc>
          <w:tcPr>
            <w:tcW w:type="dxa" w:w="2340"/>
            <w:shd w:fill="F8FAFC"/>
            <w:tcMar>
              <w:top w:w="80" w:type="dxa"/>
              <w:bottom w:w="80" w:type="dxa"/>
              <w:left w:w="100" w:type="dxa"/>
              <w:right w:w="100" w:type="dxa"/>
            </w:tcMar>
          </w:tcPr>
          <w:p>
            <w:pPr>
              <w:spacing w:before="0" w:after="0"/>
            </w:pPr>
            <w:r>
              <w:rPr>
                <w:b/>
                <w:color w:val="6B7280"/>
                <w:sz w:val="17"/>
              </w:rPr>
              <w:t>Target Entity</w:t>
              <w:br/>
            </w:r>
            <w:r>
              <w:rPr>
                <w:b/>
                <w:color w:val="0B1736"/>
                <w:sz w:val="19"/>
              </w:rPr>
              <w:t>JonBrix Motor Parts</w:t>
            </w:r>
          </w:p>
        </w:tc>
        <w:tc>
          <w:tcPr>
            <w:tcW w:type="dxa" w:w="2340"/>
            <w:shd w:fill="F8FAFC"/>
            <w:tcMar>
              <w:top w:w="80" w:type="dxa"/>
              <w:bottom w:w="80" w:type="dxa"/>
              <w:left w:w="100" w:type="dxa"/>
              <w:right w:w="100" w:type="dxa"/>
            </w:tcMar>
          </w:tcPr>
          <w:p>
            <w:pPr>
              <w:spacing w:before="0" w:after="0"/>
            </w:pPr>
            <w:r>
              <w:rPr>
                <w:b/>
                <w:color w:val="6B7280"/>
                <w:sz w:val="17"/>
              </w:rPr>
              <w:t>Module</w:t>
              <w:br/>
            </w:r>
            <w:r>
              <w:rPr>
                <w:b/>
                <w:color w:val="0B1736"/>
                <w:sz w:val="19"/>
              </w:rPr>
              <w:t>Stock Prediction &amp; Forecasting</w:t>
            </w:r>
          </w:p>
        </w:tc>
        <w:tc>
          <w:tcPr>
            <w:tcW w:type="dxa" w:w="2340"/>
            <w:shd w:fill="F8FAFC"/>
            <w:tcMar>
              <w:top w:w="80" w:type="dxa"/>
              <w:bottom w:w="80" w:type="dxa"/>
              <w:left w:w="100" w:type="dxa"/>
              <w:right w:w="100" w:type="dxa"/>
            </w:tcMar>
          </w:tcPr>
          <w:p>
            <w:pPr>
              <w:spacing w:before="0" w:after="0"/>
            </w:pPr>
            <w:r>
              <w:rPr>
                <w:b/>
                <w:color w:val="6B7280"/>
                <w:sz w:val="17"/>
              </w:rPr>
              <w:t>Date</w:t>
              <w:br/>
            </w:r>
            <w:r>
              <w:rPr>
                <w:b/>
                <w:color w:val="0B1736"/>
                <w:sz w:val="19"/>
              </w:rPr>
              <w:t>August 2026</w:t>
            </w:r>
          </w:p>
        </w:tc>
      </w:tr>
      <w:tr>
        <w:tc>
          <w:tcPr>
            <w:tcW w:type="dxa" w:w="2340"/>
            <w:shd w:fill="F8FAFC"/>
            <w:tcMar>
              <w:top w:w="80" w:type="dxa"/>
              <w:bottom w:w="80" w:type="dxa"/>
              <w:left w:w="100" w:type="dxa"/>
              <w:right w:w="100" w:type="dxa"/>
            </w:tcMar>
          </w:tcPr>
          <w:p>
            <w:pPr>
              <w:spacing w:before="0" w:after="0"/>
            </w:pPr>
            <w:r>
              <w:rPr>
                <w:b/>
                <w:color w:val="6B7280"/>
                <w:sz w:val="17"/>
              </w:rPr>
              <w:t>Core Engine</w:t>
              <w:br/>
            </w:r>
            <w:r>
              <w:rPr>
                <w:b/>
                <w:color w:val="0B1736"/>
                <w:sz w:val="19"/>
              </w:rPr>
              <w:t>services/analytics_engine.py</w:t>
            </w:r>
          </w:p>
        </w:tc>
        <w:tc>
          <w:tcPr>
            <w:tcW w:type="dxa" w:w="2340"/>
            <w:shd w:fill="F8FAFC"/>
            <w:tcMar>
              <w:top w:w="80" w:type="dxa"/>
              <w:bottom w:w="80" w:type="dxa"/>
              <w:left w:w="100" w:type="dxa"/>
              <w:right w:w="100" w:type="dxa"/>
            </w:tcMar>
          </w:tcPr>
          <w:p>
            <w:pPr>
              <w:spacing w:before="0" w:after="0"/>
            </w:pPr>
            <w:r>
              <w:rPr>
                <w:b/>
                <w:color w:val="6B7280"/>
                <w:sz w:val="17"/>
              </w:rPr>
              <w:t>Algorithm Stack</w:t>
              <w:br/>
            </w:r>
            <w:r>
              <w:rPr>
                <w:b/>
                <w:color w:val="0B1736"/>
                <w:sz w:val="19"/>
              </w:rPr>
              <w:t>Meta Prophet + Multi-Timeframe Velocity</w:t>
            </w:r>
          </w:p>
        </w:tc>
        <w:tc>
          <w:tcPr>
            <w:tcW w:type="dxa" w:w="2340"/>
            <w:shd w:fill="F8FAFC"/>
            <w:tcMar>
              <w:top w:w="80" w:type="dxa"/>
              <w:bottom w:w="80" w:type="dxa"/>
              <w:left w:w="100" w:type="dxa"/>
              <w:right w:w="100" w:type="dxa"/>
            </w:tcMar>
          </w:tcPr>
          <w:p>
            <w:pPr>
              <w:spacing w:before="0" w:after="0"/>
            </w:pPr>
            <w:r>
              <w:rPr>
                <w:b/>
                <w:color w:val="6B7280"/>
                <w:sz w:val="17"/>
              </w:rPr>
              <w:t>Classification</w:t>
              <w:br/>
            </w:r>
            <w:r>
              <w:rPr>
                <w:b/>
                <w:color w:val="0B1736"/>
                <w:sz w:val="19"/>
              </w:rPr>
              <w:t>Internal Technical Reference</w:t>
            </w:r>
          </w:p>
        </w:tc>
        <w:tc>
          <w:tcPr>
            <w:tcW w:type="dxa" w:w="2340"/>
            <w:shd w:fill="F8FAFC"/>
            <w:tcMar>
              <w:top w:w="80" w:type="dxa"/>
              <w:bottom w:w="80" w:type="dxa"/>
              <w:left w:w="100" w:type="dxa"/>
              <w:right w:w="100" w:type="dxa"/>
            </w:tcMar>
          </w:tcPr>
          <w:p>
            <w:pPr>
              <w:spacing w:before="0" w:after="0"/>
            </w:pPr>
            <w:r>
              <w:rPr>
                <w:b/>
                <w:color w:val="6B7280"/>
                <w:sz w:val="17"/>
              </w:rPr>
              <w:t>Status</w:t>
              <w:br/>
            </w:r>
            <w:r>
              <w:rPr>
                <w:b/>
                <w:color w:val="0B1736"/>
                <w:sz w:val="19"/>
              </w:rPr>
              <w:t>Active Production</w:t>
            </w:r>
          </w:p>
        </w:tc>
      </w:tr>
    </w:tbl>
    <w:p>
      <w:pPr>
        <w:spacing w:after="240"/>
      </w:pPr>
    </w:p>
    <w:p>
      <w:pPr>
        <w:spacing w:before="360" w:after="120"/>
      </w:pPr>
      <w:r>
        <w:rPr>
          <w:rFonts w:ascii="Arial" w:hAnsi="Arial"/>
          <w:b/>
          <w:color w:val="0B1736"/>
          <w:sz w:val="28"/>
        </w:rPr>
        <w:t>1. Executive Overview &amp; Purpose</w:t>
      </w:r>
    </w:p>
    <w:p>
      <w:pPr>
        <w:spacing w:before="0" w:after="120" w:line="276" w:lineRule="auto"/>
      </w:pPr>
      <w:r>
        <w:rPr>
          <w:rFonts w:ascii="Arial" w:hAnsi="Arial"/>
          <w:i w:val="0"/>
          <w:color w:val="1F2937"/>
          <w:sz w:val="20"/>
        </w:rPr>
        <w:t>The InvenSight Stock Prediction Engine is an automated decision-support system designed specifically for retail motorcycle parts, lubricants, and aftermarket accessories at JonBrix. In traditional retail environments, inventory managers face two major financial threats:</w:t>
      </w:r>
    </w:p>
    <w:p>
      <w:pPr>
        <w:spacing w:before="0" w:after="120" w:line="276" w:lineRule="auto"/>
      </w:pPr>
      <w:r>
        <w:rPr>
          <w:rFonts w:ascii="Arial" w:hAnsi="Arial"/>
          <w:b/>
          <w:color w:val="1F2937"/>
          <w:sz w:val="20"/>
        </w:rPr>
        <w:t xml:space="preserve">1. Lost Sales (Under-Stocking): </w:t>
      </w:r>
      <w:r>
        <w:rPr>
          <w:rFonts w:ascii="Arial" w:hAnsi="Arial"/>
          <w:i w:val="0"/>
          <w:color w:val="1F2937"/>
          <w:sz w:val="20"/>
        </w:rPr>
        <w:t>Stockouts happen when popular consumables (such as engine oils, brake pads, and drive belts) run out. Every day an item is out of stock results in immediate lost revenue and customer defection to competitors.</w:t>
      </w:r>
    </w:p>
    <w:p>
      <w:pPr>
        <w:spacing w:before="0" w:after="120" w:line="276" w:lineRule="auto"/>
      </w:pPr>
      <w:r>
        <w:rPr>
          <w:rFonts w:ascii="Arial" w:hAnsi="Arial"/>
          <w:b/>
          <w:color w:val="1F2937"/>
          <w:sz w:val="20"/>
        </w:rPr>
        <w:t xml:space="preserve">2. Tied Capital &amp; Deadstock (Over-Stocking): </w:t>
      </w:r>
      <w:r>
        <w:rPr>
          <w:rFonts w:ascii="Arial" w:hAnsi="Arial"/>
          <w:i w:val="0"/>
          <w:color w:val="1F2937"/>
          <w:sz w:val="20"/>
        </w:rPr>
        <w:t>Ordering excessive inventory ties up cashflow, consumes limited warehouse shelf space, and exposes products to damage, aging, or obsolete capital.</w:t>
      </w:r>
    </w:p>
    <w:p>
      <w:pPr>
        <w:spacing w:before="0" w:after="120" w:line="276" w:lineRule="auto"/>
      </w:pPr>
      <w:r>
        <w:rPr>
          <w:rFonts w:ascii="Arial" w:hAnsi="Arial"/>
          <w:i w:val="0"/>
          <w:color w:val="1F2937"/>
          <w:sz w:val="20"/>
        </w:rPr>
        <w:t>To solve this, InvenSight continuously analyzes real-time Point of Sale (POS) transactions, historical velocity, supplier lead times, and demand momentum to predict exactly when stock will deplete and how many units should be reordered.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before="0" w:after="0" w:line="276" w:lineRule="auto"/>
            </w:pPr>
            <w:r>
              <w:rPr>
                <w:rFonts w:ascii="Arial" w:hAnsi="Arial"/>
                <w:b/>
                <w:color w:val="1D4ED8"/>
                <w:sz w:val="19"/>
              </w:rPr>
              <w:t xml:space="preserve">📌 AUTOMATED ENGINE: </w:t>
            </w:r>
            <w:r>
              <w:rPr>
                <w:rFonts w:ascii="Arial" w:hAnsi="Arial"/>
                <w:color w:val="1F2937"/>
                <w:sz w:val="19"/>
              </w:rPr>
              <w:t>The Stock Prediction Engine operates completely autonomously on every POS transaction, recalculating sales velocity, days until stockout, and purchase order quantities in real-time.</w:t>
            </w:r>
          </w:p>
        </w:tc>
      </w:tr>
    </w:tbl>
    <w:p>
      <w:pPr>
        <w:spacing w:after="120"/>
      </w:pPr>
    </w:p>
    <w:p>
      <w:pPr>
        <w:spacing w:before="360" w:after="120"/>
      </w:pPr>
      <w:r>
        <w:rPr>
          <w:rFonts w:ascii="Arial" w:hAnsi="Arial"/>
          <w:b/>
          <w:color w:val="0B1736"/>
          <w:sz w:val="28"/>
        </w:rPr>
        <w:t>2. Multi-Timeframe Sales Velocity Model</w:t>
      </w:r>
    </w:p>
    <w:p>
      <w:pPr>
        <w:spacing w:before="0" w:after="120" w:line="276" w:lineRule="auto"/>
      </w:pPr>
      <w:r>
        <w:rPr>
          <w:rFonts w:ascii="Arial" w:hAnsi="Arial"/>
          <w:i w:val="0"/>
          <w:color w:val="1F2937"/>
          <w:sz w:val="20"/>
        </w:rPr>
        <w:t>Rather than relying on a single static average, InvenSight ingests sales data across four distinct analytical windows to balance immediate short-term demand surges against long-term seasonality:</w:t>
      </w:r>
    </w:p>
    <w:tbl>
      <w:tblPr>
        <w:tblW w:type="auto" w:w="0"/>
        <w:jc w:val="center"/>
        <w:tblLook w:firstColumn="1" w:firstRow="1" w:lastColumn="0" w:lastRow="0" w:noHBand="0" w:noVBand="1" w:val="04A0"/>
      </w:tblPr>
      <w:tblGrid>
        <w:gridCol w:w="3120"/>
        <w:gridCol w:w="3120"/>
        <w:gridCol w:w="3120"/>
      </w:tblGrid>
      <w:tr>
        <w:tc>
          <w:tcPr>
            <w:tcW w:type="dxa" w:w="3120"/>
            <w:shd w:fill="0B1736"/>
            <w:tcMar>
              <w:top w:w="100" w:type="dxa"/>
              <w:bottom w:w="100" w:type="dxa"/>
              <w:left w:w="120" w:type="dxa"/>
              <w:right w:w="120" w:type="dxa"/>
            </w:tcMar>
          </w:tcPr>
          <w:p>
            <w:r>
              <w:rPr>
                <w:b/>
                <w:color w:val="FFFFFF"/>
                <w:sz w:val="19"/>
              </w:rPr>
              <w:t>Timeframe Metric</w:t>
            </w:r>
          </w:p>
        </w:tc>
        <w:tc>
          <w:tcPr>
            <w:tcW w:type="dxa" w:w="3120"/>
            <w:shd w:fill="0B1736"/>
            <w:tcMar>
              <w:top w:w="100" w:type="dxa"/>
              <w:bottom w:w="100" w:type="dxa"/>
              <w:left w:w="120" w:type="dxa"/>
              <w:right w:w="120" w:type="dxa"/>
            </w:tcMar>
          </w:tcPr>
          <w:p>
            <w:r>
              <w:rPr>
                <w:b/>
                <w:color w:val="FFFFFF"/>
                <w:sz w:val="19"/>
              </w:rPr>
              <w:t>Variable Name</w:t>
            </w:r>
          </w:p>
        </w:tc>
        <w:tc>
          <w:tcPr>
            <w:tcW w:type="dxa" w:w="3120"/>
            <w:shd w:fill="0B1736"/>
            <w:tcMar>
              <w:top w:w="100" w:type="dxa"/>
              <w:bottom w:w="100" w:type="dxa"/>
              <w:left w:w="120" w:type="dxa"/>
              <w:right w:w="120" w:type="dxa"/>
            </w:tcMar>
          </w:tcPr>
          <w:p>
            <w:r>
              <w:rPr>
                <w:b/>
                <w:color w:val="FFFFFF"/>
                <w:sz w:val="19"/>
              </w:rPr>
              <w:t>Operational Significance</w:t>
            </w:r>
          </w:p>
        </w:tc>
      </w:tr>
      <w:tr>
        <w:tc>
          <w:tcPr>
            <w:tcW w:type="dxa" w:w="3120"/>
            <w:shd w:fill="FFFFFF"/>
            <w:tcMar>
              <w:top w:w="80" w:type="dxa"/>
              <w:bottom w:w="80" w:type="dxa"/>
              <w:left w:w="100" w:type="dxa"/>
              <w:right w:w="100" w:type="dxa"/>
            </w:tcMar>
          </w:tcPr>
          <w:p>
            <w:r>
              <w:rPr>
                <w:color w:val="1F2937"/>
                <w:sz w:val="18"/>
              </w:rPr>
              <w:t>Recent 14-Day Sales</w:t>
            </w:r>
          </w:p>
        </w:tc>
        <w:tc>
          <w:tcPr>
            <w:tcW w:type="dxa" w:w="3120"/>
            <w:shd w:fill="FFFFFF"/>
            <w:tcMar>
              <w:top w:w="80" w:type="dxa"/>
              <w:bottom w:w="80" w:type="dxa"/>
              <w:left w:w="100" w:type="dxa"/>
              <w:right w:w="100" w:type="dxa"/>
            </w:tcMar>
          </w:tcPr>
          <w:p>
            <w:r>
              <w:rPr>
                <w:color w:val="1F2937"/>
                <w:sz w:val="18"/>
              </w:rPr>
              <w:t>sold14</w:t>
            </w:r>
          </w:p>
        </w:tc>
        <w:tc>
          <w:tcPr>
            <w:tcW w:type="dxa" w:w="3120"/>
            <w:shd w:fill="FFFFFF"/>
            <w:tcMar>
              <w:top w:w="80" w:type="dxa"/>
              <w:bottom w:w="80" w:type="dxa"/>
              <w:left w:w="100" w:type="dxa"/>
              <w:right w:w="100" w:type="dxa"/>
            </w:tcMar>
          </w:tcPr>
          <w:p>
            <w:r>
              <w:rPr>
                <w:color w:val="1F2937"/>
                <w:sz w:val="18"/>
              </w:rPr>
              <w:t>Captures current high-frequency consumer demand over the past 2 weeks (daily_14 = sold14 / 14.0).</w:t>
            </w:r>
          </w:p>
        </w:tc>
      </w:tr>
      <w:tr>
        <w:tc>
          <w:tcPr>
            <w:tcW w:type="dxa" w:w="3120"/>
            <w:shd w:fill="F9FAFB"/>
            <w:tcMar>
              <w:top w:w="80" w:type="dxa"/>
              <w:bottom w:w="80" w:type="dxa"/>
              <w:left w:w="100" w:type="dxa"/>
              <w:right w:w="100" w:type="dxa"/>
            </w:tcMar>
          </w:tcPr>
          <w:p>
            <w:r>
              <w:rPr>
                <w:color w:val="1F2937"/>
                <w:sz w:val="18"/>
              </w:rPr>
              <w:t>Previous 14-Day Sales</w:t>
            </w:r>
          </w:p>
        </w:tc>
        <w:tc>
          <w:tcPr>
            <w:tcW w:type="dxa" w:w="3120"/>
            <w:shd w:fill="F9FAFB"/>
            <w:tcMar>
              <w:top w:w="80" w:type="dxa"/>
              <w:bottom w:w="80" w:type="dxa"/>
              <w:left w:w="100" w:type="dxa"/>
              <w:right w:w="100" w:type="dxa"/>
            </w:tcMar>
          </w:tcPr>
          <w:p>
            <w:r>
              <w:rPr>
                <w:color w:val="1F2937"/>
                <w:sz w:val="18"/>
              </w:rPr>
              <w:t>sold_prev14</w:t>
            </w:r>
          </w:p>
        </w:tc>
        <w:tc>
          <w:tcPr>
            <w:tcW w:type="dxa" w:w="3120"/>
            <w:shd w:fill="F9FAFB"/>
            <w:tcMar>
              <w:top w:w="80" w:type="dxa"/>
              <w:bottom w:w="80" w:type="dxa"/>
              <w:left w:w="100" w:type="dxa"/>
              <w:right w:w="100" w:type="dxa"/>
            </w:tcMar>
          </w:tcPr>
          <w:p>
            <w:r>
              <w:rPr>
                <w:color w:val="1F2937"/>
                <w:sz w:val="18"/>
              </w:rPr>
              <w:t>Used as a benchmark against sold14 to calculate the 2-week Demand Momentum Growth Ratio.</w:t>
            </w:r>
          </w:p>
        </w:tc>
      </w:tr>
      <w:tr>
        <w:tc>
          <w:tcPr>
            <w:tcW w:type="dxa" w:w="3120"/>
            <w:shd w:fill="FFFFFF"/>
            <w:tcMar>
              <w:top w:w="80" w:type="dxa"/>
              <w:bottom w:w="80" w:type="dxa"/>
              <w:left w:w="100" w:type="dxa"/>
              <w:right w:w="100" w:type="dxa"/>
            </w:tcMar>
          </w:tcPr>
          <w:p>
            <w:r>
              <w:rPr>
                <w:color w:val="1F2937"/>
                <w:sz w:val="18"/>
              </w:rPr>
              <w:t>Monthly 30-Day Sales</w:t>
            </w:r>
          </w:p>
        </w:tc>
        <w:tc>
          <w:tcPr>
            <w:tcW w:type="dxa" w:w="3120"/>
            <w:shd w:fill="FFFFFF"/>
            <w:tcMar>
              <w:top w:w="80" w:type="dxa"/>
              <w:bottom w:w="80" w:type="dxa"/>
              <w:left w:w="100" w:type="dxa"/>
              <w:right w:w="100" w:type="dxa"/>
            </w:tcMar>
          </w:tcPr>
          <w:p>
            <w:r>
              <w:rPr>
                <w:color w:val="1F2937"/>
                <w:sz w:val="18"/>
              </w:rPr>
              <w:t>sold30</w:t>
            </w:r>
          </w:p>
        </w:tc>
        <w:tc>
          <w:tcPr>
            <w:tcW w:type="dxa" w:w="3120"/>
            <w:shd w:fill="FFFFFF"/>
            <w:tcMar>
              <w:top w:w="80" w:type="dxa"/>
              <w:bottom w:w="80" w:type="dxa"/>
              <w:left w:w="100" w:type="dxa"/>
              <w:right w:w="100" w:type="dxa"/>
            </w:tcMar>
          </w:tcPr>
          <w:p>
            <w:r>
              <w:rPr>
                <w:color w:val="1F2937"/>
                <w:sz w:val="18"/>
              </w:rPr>
              <w:t>Provides monthly baseline velocity for general demand smoothing (daily_30 = sold30 / 30.0).</w:t>
            </w:r>
          </w:p>
        </w:tc>
      </w:tr>
      <w:tr>
        <w:tc>
          <w:tcPr>
            <w:tcW w:type="dxa" w:w="3120"/>
            <w:shd w:fill="F9FAFB"/>
            <w:tcMar>
              <w:top w:w="80" w:type="dxa"/>
              <w:bottom w:w="80" w:type="dxa"/>
              <w:left w:w="100" w:type="dxa"/>
              <w:right w:w="100" w:type="dxa"/>
            </w:tcMar>
          </w:tcPr>
          <w:p>
            <w:r>
              <w:rPr>
                <w:color w:val="1F2937"/>
                <w:sz w:val="18"/>
              </w:rPr>
              <w:t>Annual 365-Day Sales</w:t>
            </w:r>
          </w:p>
        </w:tc>
        <w:tc>
          <w:tcPr>
            <w:tcW w:type="dxa" w:w="3120"/>
            <w:shd w:fill="F9FAFB"/>
            <w:tcMar>
              <w:top w:w="80" w:type="dxa"/>
              <w:bottom w:w="80" w:type="dxa"/>
              <w:left w:w="100" w:type="dxa"/>
              <w:right w:w="100" w:type="dxa"/>
            </w:tcMar>
          </w:tcPr>
          <w:p>
            <w:r>
              <w:rPr>
                <w:color w:val="1F2937"/>
                <w:sz w:val="18"/>
              </w:rPr>
              <w:t>sold365</w:t>
            </w:r>
          </w:p>
        </w:tc>
        <w:tc>
          <w:tcPr>
            <w:tcW w:type="dxa" w:w="3120"/>
            <w:shd w:fill="F9FAFB"/>
            <w:tcMar>
              <w:top w:w="80" w:type="dxa"/>
              <w:bottom w:w="80" w:type="dxa"/>
              <w:left w:w="100" w:type="dxa"/>
              <w:right w:w="100" w:type="dxa"/>
            </w:tcMar>
          </w:tcPr>
          <w:p>
            <w:r>
              <w:rPr>
                <w:color w:val="1F2937"/>
                <w:sz w:val="18"/>
              </w:rPr>
              <w:t>Accounts for 1-year historical volume and seasonality across peak holiday or rainy seasons.</w:t>
            </w:r>
          </w:p>
        </w:tc>
      </w:tr>
    </w:tbl>
    <w:p>
      <w:pPr>
        <w:spacing w:after="160"/>
      </w:pPr>
    </w:p>
    <w:p>
      <w:pPr>
        <w:spacing w:before="240" w:after="80"/>
      </w:pPr>
      <w:r>
        <w:rPr>
          <w:rFonts w:ascii="Arial" w:hAnsi="Arial"/>
          <w:b/>
          <w:color w:val="1D4ED8"/>
          <w:sz w:val="22"/>
        </w:rPr>
        <w:t>Out-of-Stock Demand Fallback (Preventing False Zeros)</w:t>
      </w:r>
    </w:p>
    <w:p>
      <w:pPr>
        <w:spacing w:before="0" w:after="120" w:line="276" w:lineRule="auto"/>
      </w:pPr>
      <w:r>
        <w:rPr>
          <w:rFonts w:ascii="Arial" w:hAnsi="Arial"/>
          <w:i w:val="0"/>
          <w:color w:val="1F2937"/>
          <w:sz w:val="20"/>
        </w:rPr>
        <w:t>When a product runs out of stock, standard Point of Sale systems record 0 sales simply because there is nothing on the shelves to buy. A naive algorithm would mistakenly assume demand has dropped to zero. InvenSight solves this by automatically switching to a weighted historical blend when current_stock &lt;= 0:</w:t>
      </w:r>
    </w:p>
    <w:p>
      <w:pPr>
        <w:spacing w:before="0" w:after="120" w:line="276" w:lineRule="auto"/>
      </w:pPr>
      <w:r>
        <w:rPr>
          <w:rFonts w:ascii="Arial" w:hAnsi="Arial"/>
          <w:b/>
          <w:color w:val="1F2937"/>
          <w:sz w:val="20"/>
        </w:rPr>
        <w:t xml:space="preserve">Formula: </w:t>
      </w:r>
      <w:r>
        <w:rPr>
          <w:rFonts w:ascii="Arial" w:hAnsi="Arial"/>
          <w:i/>
          <w:color w:val="1F2937"/>
          <w:sz w:val="20"/>
        </w:rPr>
        <w:t>Daily Demand (Out of Stock) = (daily_30 × 25%) + (daily_365 × 25%) + (daily_all_time × 50%)</w:t>
      </w:r>
    </w:p>
    <w:p>
      <w:pPr>
        <w:spacing w:before="0" w:after="120" w:line="276" w:lineRule="auto"/>
      </w:pPr>
      <w:r>
        <w:rPr>
          <w:rFonts w:ascii="Arial" w:hAnsi="Arial"/>
          <w:i w:val="0"/>
          <w:color w:val="1F2937"/>
          <w:sz w:val="20"/>
        </w:rPr>
        <w:t>This ensures that out-of-stock bestsellers immediately trigger high-priority reorder suggestions with accurate quantities.</w:t>
      </w:r>
    </w:p>
    <w:p>
      <w:pPr>
        <w:spacing w:before="360" w:after="120"/>
      </w:pPr>
      <w:r>
        <w:rPr>
          <w:rFonts w:ascii="Arial" w:hAnsi="Arial"/>
          <w:b/>
          <w:color w:val="0B1736"/>
          <w:sz w:val="28"/>
        </w:rPr>
        <w:t>3. Machine Learning Layer — Meta Prophet Time-Series Model</w:t>
      </w:r>
    </w:p>
    <w:p>
      <w:pPr>
        <w:spacing w:before="0" w:after="120" w:line="276" w:lineRule="auto"/>
      </w:pPr>
      <w:r>
        <w:rPr>
          <w:rFonts w:ascii="Arial" w:hAnsi="Arial"/>
          <w:i w:val="0"/>
          <w:color w:val="1F2937"/>
          <w:sz w:val="20"/>
        </w:rPr>
        <w:t>For top high-volume revenue generators (Top 5 SKUs with &gt;= 90 days of recorded sales history), InvenSight deploys an automated Meta Prophet forecasting model. Prophet decomposes historical time-series data into:</w:t>
      </w:r>
    </w:p>
    <w:p>
      <w:pPr>
        <w:spacing w:before="0" w:after="120" w:line="276" w:lineRule="auto"/>
      </w:pPr>
      <w:r>
        <w:rPr>
          <w:rFonts w:ascii="Arial" w:hAnsi="Arial"/>
          <w:b/>
          <w:color w:val="1F2937"/>
          <w:sz w:val="20"/>
        </w:rPr>
        <w:t xml:space="preserve">• Trend Component: </w:t>
      </w:r>
      <w:r>
        <w:rPr>
          <w:rFonts w:ascii="Arial" w:hAnsi="Arial"/>
          <w:i w:val="0"/>
          <w:color w:val="1F2937"/>
          <w:sz w:val="20"/>
        </w:rPr>
        <w:t>Identifies long-term growth or decline over a 730-day (2-year) training window.</w:t>
      </w:r>
    </w:p>
    <w:p>
      <w:pPr>
        <w:spacing w:before="0" w:after="120" w:line="276" w:lineRule="auto"/>
      </w:pPr>
      <w:r>
        <w:rPr>
          <w:rFonts w:ascii="Arial" w:hAnsi="Arial"/>
          <w:b/>
          <w:color w:val="1F2937"/>
          <w:sz w:val="20"/>
        </w:rPr>
        <w:t xml:space="preserve">• Day-of-Week Seasonality: </w:t>
      </w:r>
      <w:r>
        <w:rPr>
          <w:rFonts w:ascii="Arial" w:hAnsi="Arial"/>
          <w:i w:val="0"/>
          <w:color w:val="1F2937"/>
          <w:sz w:val="20"/>
        </w:rPr>
        <w:t>Models recurring weekly spikes (e.g., higher mechanic repairs and oil changes on Saturdays and Sundays).</w:t>
      </w:r>
    </w:p>
    <w:p>
      <w:pPr>
        <w:spacing w:before="0" w:after="120" w:line="276" w:lineRule="auto"/>
      </w:pPr>
      <w:r>
        <w:rPr>
          <w:rFonts w:ascii="Arial" w:hAnsi="Arial"/>
          <w:b/>
          <w:color w:val="1F2937"/>
          <w:sz w:val="20"/>
        </w:rPr>
        <w:t xml:space="preserve">• Calendar Seasonality: </w:t>
      </w:r>
      <w:r>
        <w:rPr>
          <w:rFonts w:ascii="Arial" w:hAnsi="Arial"/>
          <w:i w:val="0"/>
          <w:color w:val="1F2937"/>
          <w:sz w:val="20"/>
        </w:rPr>
        <w:t>Detects payday surges (15th and 30th of the month) and holiday spikes.</w:t>
      </w:r>
    </w:p>
    <w:p>
      <w:pPr>
        <w:spacing w:before="0" w:after="120" w:line="276" w:lineRule="auto"/>
      </w:pPr>
      <w:r>
        <w:rPr>
          <w:rFonts w:ascii="Arial" w:hAnsi="Arial"/>
          <w:b/>
          <w:color w:val="1F2937"/>
          <w:sz w:val="20"/>
        </w:rPr>
        <w:t xml:space="preserve">• Uncertainty Estimation: </w:t>
      </w:r>
      <w:r>
        <w:rPr>
          <w:rFonts w:ascii="Arial" w:hAnsi="Arial"/>
          <w:i w:val="0"/>
          <w:color w:val="1F2937"/>
          <w:sz w:val="20"/>
        </w:rPr>
        <w:t>Computes an 80% confidence interval, allowing the engine to calculate a mathematical certainty score for every recommendation.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before="0" w:after="0" w:line="276" w:lineRule="auto"/>
            </w:pPr>
            <w:r>
              <w:rPr>
                <w:rFonts w:ascii="Arial" w:hAnsi="Arial"/>
                <w:b/>
                <w:color w:val="1D4ED8"/>
                <w:sz w:val="19"/>
              </w:rPr>
              <w:t xml:space="preserve">📌 ALGORITHMIC SAFETY GUARD: </w:t>
            </w:r>
            <w:r>
              <w:rPr>
                <w:rFonts w:ascii="Arial" w:hAnsi="Arial"/>
                <w:color w:val="1F2937"/>
                <w:sz w:val="19"/>
              </w:rPr>
              <w:t>Safety Floor Rule: If Prophet outputs an unusually low forecast due to temporary stock disruptions, the engine automatically applies a floor: daily = max(prophet_forecast, daily_velocity). The system never under-predicts demand.</w:t>
            </w:r>
          </w:p>
        </w:tc>
      </w:tr>
    </w:tbl>
    <w:p>
      <w:pPr>
        <w:spacing w:after="120"/>
      </w:pPr>
    </w:p>
    <w:p>
      <w:pPr>
        <w:spacing w:before="360" w:after="120"/>
      </w:pPr>
      <w:r>
        <w:rPr>
          <w:rFonts w:ascii="Arial" w:hAnsi="Arial"/>
          <w:b/>
          <w:color w:val="0B1736"/>
          <w:sz w:val="28"/>
        </w:rPr>
        <w:t>4. Two-Week Demand Momentum Factor</w:t>
      </w:r>
    </w:p>
    <w:p>
      <w:pPr>
        <w:spacing w:before="0" w:after="120" w:line="276" w:lineRule="auto"/>
      </w:pPr>
      <w:r>
        <w:rPr>
          <w:rFonts w:ascii="Arial" w:hAnsi="Arial"/>
          <w:i w:val="0"/>
          <w:color w:val="1F2937"/>
          <w:sz w:val="20"/>
        </w:rPr>
        <w:t>To adapt dynamically to sudden market shifts (such as viral product trends, supplier promotions, or weather changes), InvenSight calculates a Demand Momentum Factor by comparing sales over the latest 14 days against the preceding 14 days:</w:t>
      </w:r>
    </w:p>
    <w:p>
      <w:pPr>
        <w:spacing w:before="0" w:after="120" w:line="276" w:lineRule="auto"/>
      </w:pPr>
      <w:r>
        <w:rPr>
          <w:rFonts w:ascii="Arial" w:hAnsi="Arial"/>
          <w:b/>
          <w:color w:val="1F2937"/>
          <w:sz w:val="20"/>
        </w:rPr>
        <w:t xml:space="preserve">Formula: </w:t>
      </w:r>
      <w:r>
        <w:rPr>
          <w:rFonts w:ascii="Arial" w:hAnsi="Arial"/>
          <w:i/>
          <w:color w:val="1F2937"/>
          <w:sz w:val="20"/>
        </w:rPr>
        <w:t>Growth Ratio (R) = sold14 / sold_prev14</w:t>
      </w:r>
    </w:p>
    <w:tbl>
      <w:tblPr>
        <w:tblW w:type="auto" w:w="0"/>
        <w:jc w:val="center"/>
        <w:tblLook w:firstColumn="1" w:firstRow="1" w:lastColumn="0" w:lastRow="0" w:noHBand="0" w:noVBand="1" w:val="04A0"/>
      </w:tblPr>
      <w:tblGrid>
        <w:gridCol w:w="2340"/>
        <w:gridCol w:w="2340"/>
        <w:gridCol w:w="2340"/>
        <w:gridCol w:w="2340"/>
      </w:tblGrid>
      <w:tr>
        <w:tc>
          <w:tcPr>
            <w:tcW w:type="dxa" w:w="2340"/>
            <w:shd w:fill="0B1736"/>
            <w:tcMar>
              <w:top w:w="100" w:type="dxa"/>
              <w:bottom w:w="100" w:type="dxa"/>
              <w:left w:w="120" w:type="dxa"/>
              <w:right w:w="120" w:type="dxa"/>
            </w:tcMar>
          </w:tcPr>
          <w:p>
            <w:r>
              <w:rPr>
                <w:b/>
                <w:color w:val="FFFFFF"/>
                <w:sz w:val="19"/>
              </w:rPr>
              <w:t>Market Trend State</w:t>
            </w:r>
          </w:p>
        </w:tc>
        <w:tc>
          <w:tcPr>
            <w:tcW w:type="dxa" w:w="2340"/>
            <w:shd w:fill="0B1736"/>
            <w:tcMar>
              <w:top w:w="100" w:type="dxa"/>
              <w:bottom w:w="100" w:type="dxa"/>
              <w:left w:w="120" w:type="dxa"/>
              <w:right w:w="120" w:type="dxa"/>
            </w:tcMar>
          </w:tcPr>
          <w:p>
            <w:r>
              <w:rPr>
                <w:b/>
                <w:color w:val="FFFFFF"/>
                <w:sz w:val="19"/>
              </w:rPr>
              <w:t>Growth Ratio (R)</w:t>
            </w:r>
          </w:p>
        </w:tc>
        <w:tc>
          <w:tcPr>
            <w:tcW w:type="dxa" w:w="2340"/>
            <w:shd w:fill="0B1736"/>
            <w:tcMar>
              <w:top w:w="100" w:type="dxa"/>
              <w:bottom w:w="100" w:type="dxa"/>
              <w:left w:w="120" w:type="dxa"/>
              <w:right w:w="120" w:type="dxa"/>
            </w:tcMar>
          </w:tcPr>
          <w:p>
            <w:r>
              <w:rPr>
                <w:b/>
                <w:color w:val="FFFFFF"/>
                <w:sz w:val="19"/>
              </w:rPr>
              <w:t>Momentum Multiplier</w:t>
            </w:r>
          </w:p>
        </w:tc>
        <w:tc>
          <w:tcPr>
            <w:tcW w:type="dxa" w:w="2340"/>
            <w:shd w:fill="0B1736"/>
            <w:tcMar>
              <w:top w:w="100" w:type="dxa"/>
              <w:bottom w:w="100" w:type="dxa"/>
              <w:left w:w="120" w:type="dxa"/>
              <w:right w:w="120" w:type="dxa"/>
            </w:tcMar>
          </w:tcPr>
          <w:p>
            <w:r>
              <w:rPr>
                <w:b/>
                <w:color w:val="FFFFFF"/>
                <w:sz w:val="19"/>
              </w:rPr>
              <w:t>Inventory Buffer Action</w:t>
            </w:r>
          </w:p>
        </w:tc>
      </w:tr>
      <w:tr>
        <w:tc>
          <w:tcPr>
            <w:tcW w:type="dxa" w:w="2340"/>
            <w:shd w:fill="FFFFFF"/>
            <w:tcMar>
              <w:top w:w="80" w:type="dxa"/>
              <w:bottom w:w="80" w:type="dxa"/>
              <w:left w:w="100" w:type="dxa"/>
              <w:right w:w="100" w:type="dxa"/>
            </w:tcMar>
          </w:tcPr>
          <w:p>
            <w:r>
              <w:rPr>
                <w:color w:val="1F2937"/>
                <w:sz w:val="18"/>
              </w:rPr>
              <w:t>Surging / Rapid Growth</w:t>
            </w:r>
          </w:p>
        </w:tc>
        <w:tc>
          <w:tcPr>
            <w:tcW w:type="dxa" w:w="2340"/>
            <w:shd w:fill="FFFFFF"/>
            <w:tcMar>
              <w:top w:w="80" w:type="dxa"/>
              <w:bottom w:w="80" w:type="dxa"/>
              <w:left w:w="100" w:type="dxa"/>
              <w:right w:w="100" w:type="dxa"/>
            </w:tcMar>
          </w:tcPr>
          <w:p>
            <w:r>
              <w:rPr>
                <w:color w:val="1F2937"/>
                <w:sz w:val="18"/>
              </w:rPr>
              <w:t>R &gt;= 1.25 (+25% growth)</w:t>
            </w:r>
          </w:p>
        </w:tc>
        <w:tc>
          <w:tcPr>
            <w:tcW w:type="dxa" w:w="2340"/>
            <w:shd w:fill="FFFFFF"/>
            <w:tcMar>
              <w:top w:w="80" w:type="dxa"/>
              <w:bottom w:w="80" w:type="dxa"/>
              <w:left w:w="100" w:type="dxa"/>
              <w:right w:w="100" w:type="dxa"/>
            </w:tcMar>
          </w:tcPr>
          <w:p>
            <w:r>
              <w:rPr>
                <w:color w:val="1F2937"/>
                <w:sz w:val="18"/>
              </w:rPr>
              <w:t>1.25x (125%)</w:t>
            </w:r>
          </w:p>
        </w:tc>
        <w:tc>
          <w:tcPr>
            <w:tcW w:type="dxa" w:w="2340"/>
            <w:shd w:fill="FFFFFF"/>
            <w:tcMar>
              <w:top w:w="80" w:type="dxa"/>
              <w:bottom w:w="80" w:type="dxa"/>
              <w:left w:w="100" w:type="dxa"/>
              <w:right w:w="100" w:type="dxa"/>
            </w:tcMar>
          </w:tcPr>
          <w:p>
            <w:r>
              <w:rPr>
                <w:color w:val="1F2937"/>
                <w:sz w:val="18"/>
              </w:rPr>
              <w:t>Adds 25% extra safety stock buffer to prevent stockouts.</w:t>
            </w:r>
          </w:p>
        </w:tc>
      </w:tr>
      <w:tr>
        <w:tc>
          <w:tcPr>
            <w:tcW w:type="dxa" w:w="2340"/>
            <w:shd w:fill="F9FAFB"/>
            <w:tcMar>
              <w:top w:w="80" w:type="dxa"/>
              <w:bottom w:w="80" w:type="dxa"/>
              <w:left w:w="100" w:type="dxa"/>
              <w:right w:w="100" w:type="dxa"/>
            </w:tcMar>
          </w:tcPr>
          <w:p>
            <w:r>
              <w:rPr>
                <w:color w:val="1F2937"/>
                <w:sz w:val="18"/>
              </w:rPr>
              <w:t>Growing / High Demand</w:t>
            </w:r>
          </w:p>
        </w:tc>
        <w:tc>
          <w:tcPr>
            <w:tcW w:type="dxa" w:w="2340"/>
            <w:shd w:fill="F9FAFB"/>
            <w:tcMar>
              <w:top w:w="80" w:type="dxa"/>
              <w:bottom w:w="80" w:type="dxa"/>
              <w:left w:w="100" w:type="dxa"/>
              <w:right w:w="100" w:type="dxa"/>
            </w:tcMar>
          </w:tcPr>
          <w:p>
            <w:r>
              <w:rPr>
                <w:color w:val="1F2937"/>
                <w:sz w:val="18"/>
              </w:rPr>
              <w:t>1.00 &lt;= R &lt; 1.25</w:t>
            </w:r>
          </w:p>
        </w:tc>
        <w:tc>
          <w:tcPr>
            <w:tcW w:type="dxa" w:w="2340"/>
            <w:shd w:fill="F9FAFB"/>
            <w:tcMar>
              <w:top w:w="80" w:type="dxa"/>
              <w:bottom w:w="80" w:type="dxa"/>
              <w:left w:w="100" w:type="dxa"/>
              <w:right w:w="100" w:type="dxa"/>
            </w:tcMar>
          </w:tcPr>
          <w:p>
            <w:r>
              <w:rPr>
                <w:color w:val="1F2937"/>
                <w:sz w:val="18"/>
              </w:rPr>
              <w:t>1.15x (115%)</w:t>
            </w:r>
          </w:p>
        </w:tc>
        <w:tc>
          <w:tcPr>
            <w:tcW w:type="dxa" w:w="2340"/>
            <w:shd w:fill="F9FAFB"/>
            <w:tcMar>
              <w:top w:w="80" w:type="dxa"/>
              <w:bottom w:w="80" w:type="dxa"/>
              <w:left w:w="100" w:type="dxa"/>
              <w:right w:w="100" w:type="dxa"/>
            </w:tcMar>
          </w:tcPr>
          <w:p>
            <w:r>
              <w:rPr>
                <w:color w:val="1F2937"/>
                <w:sz w:val="18"/>
              </w:rPr>
              <w:t>Adds 15% safety buffer for steady, reliable inventory turnover.</w:t>
            </w:r>
          </w:p>
        </w:tc>
      </w:tr>
      <w:tr>
        <w:tc>
          <w:tcPr>
            <w:tcW w:type="dxa" w:w="2340"/>
            <w:shd w:fill="FFFFFF"/>
            <w:tcMar>
              <w:top w:w="80" w:type="dxa"/>
              <w:bottom w:w="80" w:type="dxa"/>
              <w:left w:w="100" w:type="dxa"/>
              <w:right w:w="100" w:type="dxa"/>
            </w:tcMar>
          </w:tcPr>
          <w:p>
            <w:r>
              <w:rPr>
                <w:color w:val="1F2937"/>
                <w:sz w:val="18"/>
              </w:rPr>
              <w:t>Normal Steady Pace</w:t>
            </w:r>
          </w:p>
        </w:tc>
        <w:tc>
          <w:tcPr>
            <w:tcW w:type="dxa" w:w="2340"/>
            <w:shd w:fill="FFFFFF"/>
            <w:tcMar>
              <w:top w:w="80" w:type="dxa"/>
              <w:bottom w:w="80" w:type="dxa"/>
              <w:left w:w="100" w:type="dxa"/>
              <w:right w:w="100" w:type="dxa"/>
            </w:tcMar>
          </w:tcPr>
          <w:p>
            <w:r>
              <w:rPr>
                <w:color w:val="1F2937"/>
                <w:sz w:val="18"/>
              </w:rPr>
              <w:t>0.70 &lt;= R &lt; 1.00</w:t>
            </w:r>
          </w:p>
        </w:tc>
        <w:tc>
          <w:tcPr>
            <w:tcW w:type="dxa" w:w="2340"/>
            <w:shd w:fill="FFFFFF"/>
            <w:tcMar>
              <w:top w:w="80" w:type="dxa"/>
              <w:bottom w:w="80" w:type="dxa"/>
              <w:left w:w="100" w:type="dxa"/>
              <w:right w:w="100" w:type="dxa"/>
            </w:tcMar>
          </w:tcPr>
          <w:p>
            <w:r>
              <w:rPr>
                <w:color w:val="1F2937"/>
                <w:sz w:val="18"/>
              </w:rPr>
              <w:t>1.05x (105%)</w:t>
            </w:r>
          </w:p>
        </w:tc>
        <w:tc>
          <w:tcPr>
            <w:tcW w:type="dxa" w:w="2340"/>
            <w:shd w:fill="FFFFFF"/>
            <w:tcMar>
              <w:top w:w="80" w:type="dxa"/>
              <w:bottom w:w="80" w:type="dxa"/>
              <w:left w:w="100" w:type="dxa"/>
              <w:right w:w="100" w:type="dxa"/>
            </w:tcMar>
          </w:tcPr>
          <w:p>
            <w:r>
              <w:rPr>
                <w:color w:val="1F2937"/>
                <w:sz w:val="18"/>
              </w:rPr>
              <w:t>Applies standard 5% buffer for regular replenishment.</w:t>
            </w:r>
          </w:p>
        </w:tc>
      </w:tr>
      <w:tr>
        <w:tc>
          <w:tcPr>
            <w:tcW w:type="dxa" w:w="2340"/>
            <w:shd w:fill="F9FAFB"/>
            <w:tcMar>
              <w:top w:w="80" w:type="dxa"/>
              <w:bottom w:w="80" w:type="dxa"/>
              <w:left w:w="100" w:type="dxa"/>
              <w:right w:w="100" w:type="dxa"/>
            </w:tcMar>
          </w:tcPr>
          <w:p>
            <w:r>
              <w:rPr>
                <w:color w:val="1F2937"/>
                <w:sz w:val="18"/>
              </w:rPr>
              <w:t>Cooling / Dropping Demand</w:t>
            </w:r>
          </w:p>
        </w:tc>
        <w:tc>
          <w:tcPr>
            <w:tcW w:type="dxa" w:w="2340"/>
            <w:shd w:fill="F9FAFB"/>
            <w:tcMar>
              <w:top w:w="80" w:type="dxa"/>
              <w:bottom w:w="80" w:type="dxa"/>
              <w:left w:w="100" w:type="dxa"/>
              <w:right w:w="100" w:type="dxa"/>
            </w:tcMar>
          </w:tcPr>
          <w:p>
            <w:r>
              <w:rPr>
                <w:color w:val="1F2937"/>
                <w:sz w:val="18"/>
              </w:rPr>
              <w:t>R &lt; 0.70 (&gt;=30% drop)</w:t>
            </w:r>
          </w:p>
        </w:tc>
        <w:tc>
          <w:tcPr>
            <w:tcW w:type="dxa" w:w="2340"/>
            <w:shd w:fill="F9FAFB"/>
            <w:tcMar>
              <w:top w:w="80" w:type="dxa"/>
              <w:bottom w:w="80" w:type="dxa"/>
              <w:left w:w="100" w:type="dxa"/>
              <w:right w:w="100" w:type="dxa"/>
            </w:tcMar>
          </w:tcPr>
          <w:p>
            <w:r>
              <w:rPr>
                <w:color w:val="1F2937"/>
                <w:sz w:val="18"/>
              </w:rPr>
              <w:t>0.85x (85%)</w:t>
            </w:r>
          </w:p>
        </w:tc>
        <w:tc>
          <w:tcPr>
            <w:tcW w:type="dxa" w:w="2340"/>
            <w:shd w:fill="F9FAFB"/>
            <w:tcMar>
              <w:top w:w="80" w:type="dxa"/>
              <w:bottom w:w="80" w:type="dxa"/>
              <w:left w:w="100" w:type="dxa"/>
              <w:right w:w="100" w:type="dxa"/>
            </w:tcMar>
          </w:tcPr>
          <w:p>
            <w:r>
              <w:rPr>
                <w:color w:val="1F2937"/>
                <w:sz w:val="18"/>
              </w:rPr>
              <w:t>Downscales reorder recommendation by 15% to prevent overstocking.</w:t>
            </w:r>
          </w:p>
        </w:tc>
      </w:tr>
    </w:tbl>
    <w:p>
      <w:pPr>
        <w:spacing w:after="160"/>
      </w:pPr>
    </w:p>
    <w:p>
      <w:pPr>
        <w:spacing w:before="360" w:after="120"/>
      </w:pPr>
      <w:r>
        <w:rPr>
          <w:rFonts w:ascii="Arial" w:hAnsi="Arial"/>
          <w:b/>
          <w:color w:val="0B1736"/>
          <w:sz w:val="28"/>
        </w:rPr>
        <w:t>5. Days to Stockout &amp; Automated Reorder Formulas</w:t>
      </w:r>
    </w:p>
    <w:p>
      <w:pPr>
        <w:spacing w:before="240" w:after="80"/>
      </w:pPr>
      <w:r>
        <w:rPr>
          <w:rFonts w:ascii="Arial" w:hAnsi="Arial"/>
          <w:b/>
          <w:color w:val="1D4ED8"/>
          <w:sz w:val="22"/>
        </w:rPr>
        <w:t>A. Days Until Stockout</w:t>
      </w:r>
    </w:p>
    <w:p>
      <w:pPr>
        <w:spacing w:before="0" w:after="120" w:line="276" w:lineRule="auto"/>
      </w:pPr>
      <w:r>
        <w:rPr>
          <w:rFonts w:ascii="Arial" w:hAnsi="Arial"/>
          <w:i w:val="0"/>
          <w:color w:val="1F2937"/>
          <w:sz w:val="20"/>
        </w:rPr>
        <w:t>Days to Stockout calculates the exact number of days remaining before on-hand inventory hits zero:</w:t>
      </w:r>
    </w:p>
    <w:p>
      <w:pPr>
        <w:spacing w:before="0" w:after="120" w:line="276" w:lineRule="auto"/>
      </w:pPr>
      <w:r>
        <w:rPr>
          <w:rFonts w:ascii="Arial" w:hAnsi="Arial"/>
          <w:b/>
          <w:color w:val="1F2937"/>
          <w:sz w:val="20"/>
        </w:rPr>
        <w:t xml:space="preserve">Formula: </w:t>
      </w:r>
      <w:r>
        <w:rPr>
          <w:rFonts w:ascii="Arial" w:hAnsi="Arial"/>
          <w:i/>
          <w:color w:val="1F2937"/>
          <w:sz w:val="20"/>
        </w:rPr>
        <w:t>Days to Stockout = Current Stock / (Daily Sales Velocity × Momentum Factor)</w:t>
      </w:r>
    </w:p>
    <w:p>
      <w:pPr>
        <w:spacing w:before="240" w:after="80"/>
      </w:pPr>
      <w:r>
        <w:rPr>
          <w:rFonts w:ascii="Arial" w:hAnsi="Arial"/>
          <w:b/>
          <w:color w:val="1D4ED8"/>
          <w:sz w:val="22"/>
        </w:rPr>
        <w:t>B. Target 14-Day (2-Week) Stock Level</w:t>
      </w:r>
    </w:p>
    <w:p>
      <w:pPr>
        <w:spacing w:before="0" w:after="120" w:line="276" w:lineRule="auto"/>
      </w:pPr>
      <w:r>
        <w:rPr>
          <w:rFonts w:ascii="Arial" w:hAnsi="Arial"/>
          <w:i w:val="0"/>
          <w:color w:val="1F2937"/>
          <w:sz w:val="20"/>
        </w:rPr>
        <w:t>To maintain optimal buffer without tying up excess capital, the target stocking level covers 14 days of projected demand plus safety buffer:</w:t>
      </w:r>
    </w:p>
    <w:p>
      <w:pPr>
        <w:spacing w:before="0" w:after="120" w:line="276" w:lineRule="auto"/>
      </w:pPr>
      <w:r>
        <w:rPr>
          <w:rFonts w:ascii="Arial" w:hAnsi="Arial"/>
          <w:b/>
          <w:color w:val="1F2937"/>
          <w:sz w:val="20"/>
        </w:rPr>
        <w:t xml:space="preserve">Formula: </w:t>
      </w:r>
      <w:r>
        <w:rPr>
          <w:rFonts w:ascii="Arial" w:hAnsi="Arial"/>
          <w:i/>
          <w:color w:val="1F2937"/>
          <w:sz w:val="20"/>
        </w:rPr>
        <w:t>Target Stock (14 Days) = (14-Day Projected Demand) + max(Reorder Level, 3 Days Velocity)</w:t>
      </w:r>
    </w:p>
    <w:p>
      <w:pPr>
        <w:spacing w:before="240" w:after="80"/>
      </w:pPr>
      <w:r>
        <w:rPr>
          <w:rFonts w:ascii="Arial" w:hAnsi="Arial"/>
          <w:b/>
          <w:color w:val="1D4ED8"/>
          <w:sz w:val="22"/>
        </w:rPr>
        <w:t>C. Recommended Reorder Quantity</w:t>
      </w:r>
    </w:p>
    <w:p>
      <w:pPr>
        <w:spacing w:before="0" w:after="120" w:line="276" w:lineRule="auto"/>
      </w:pPr>
      <w:r>
        <w:rPr>
          <w:rFonts w:ascii="Arial" w:hAnsi="Arial"/>
          <w:i w:val="0"/>
          <w:color w:val="1F2937"/>
          <w:sz w:val="20"/>
        </w:rPr>
        <w:t>The algorithm dynamically determines the exact number of units to order based on actual units sold demand:</w:t>
      </w:r>
    </w:p>
    <w:p>
      <w:pPr>
        <w:spacing w:before="0" w:after="120" w:line="276" w:lineRule="auto"/>
      </w:pPr>
      <w:r>
        <w:rPr>
          <w:rFonts w:ascii="Arial" w:hAnsi="Arial"/>
          <w:b/>
          <w:color w:val="1F2937"/>
          <w:sz w:val="20"/>
        </w:rPr>
        <w:t xml:space="preserve">• For Out of Stock Items: </w:t>
      </w:r>
      <w:r>
        <w:rPr>
          <w:rFonts w:ascii="Arial" w:hAnsi="Arial"/>
          <w:i/>
          <w:color w:val="1F2937"/>
          <w:sz w:val="20"/>
        </w:rPr>
        <w:t>Recommended Reorder Qty = max(ceil(Target Stock), ceil(sold14 × 1.15), Reorder Level × 2)</w:t>
      </w:r>
    </w:p>
    <w:p>
      <w:pPr>
        <w:spacing w:before="0" w:after="120" w:line="276" w:lineRule="auto"/>
      </w:pPr>
      <w:r>
        <w:rPr>
          <w:rFonts w:ascii="Arial" w:hAnsi="Arial"/>
          <w:b/>
          <w:color w:val="1F2937"/>
          <w:sz w:val="20"/>
        </w:rPr>
        <w:t xml:space="preserve">• For In-Stock Items: </w:t>
      </w:r>
      <w:r>
        <w:rPr>
          <w:rFonts w:ascii="Arial" w:hAnsi="Arial"/>
          <w:i/>
          <w:color w:val="1F2937"/>
          <w:sz w:val="20"/>
        </w:rPr>
        <w:t>If Current Stock &lt; Target Stock: Reorder Qty = ceil(Target Stock - Current Stock). If Current Stock &gt;= Target Stock: Reorder Qty = 0 (No purchase needed).</w:t>
      </w:r>
    </w:p>
    <w:p>
      <w:pPr>
        <w:spacing w:before="360" w:after="120"/>
      </w:pPr>
      <w:r>
        <w:rPr>
          <w:rFonts w:ascii="Arial" w:hAnsi="Arial"/>
          <w:b/>
          <w:color w:val="0B1736"/>
          <w:sz w:val="28"/>
        </w:rPr>
        <w:t>6. Risk Levels &amp; Multi-Period Horizon Simulation</w:t>
      </w:r>
    </w:p>
    <w:p>
      <w:pPr>
        <w:spacing w:before="0" w:after="120" w:line="276" w:lineRule="auto"/>
      </w:pPr>
      <w:r>
        <w:rPr>
          <w:rFonts w:ascii="Arial" w:hAnsi="Arial"/>
          <w:i w:val="0"/>
          <w:color w:val="1F2937"/>
          <w:sz w:val="20"/>
        </w:rPr>
        <w:t>Every inventory item in JonBrix is classified into one of three visual risk tiers:</w:t>
      </w:r>
    </w:p>
    <w:p>
      <w:pPr>
        <w:spacing w:before="0" w:after="120" w:line="276" w:lineRule="auto"/>
      </w:pPr>
      <w:r>
        <w:rPr>
          <w:rFonts w:ascii="Arial" w:hAnsi="Arial"/>
          <w:b/>
          <w:color w:val="1F2937"/>
          <w:sz w:val="20"/>
        </w:rPr>
        <w:t xml:space="preserve">🔴 Critical / High Risk: </w:t>
      </w:r>
      <w:r>
        <w:rPr>
          <w:rFonts w:ascii="Arial" w:hAnsi="Arial"/>
          <w:i w:val="0"/>
          <w:color w:val="1F2937"/>
          <w:sz w:val="20"/>
        </w:rPr>
        <w:t>Days to Stockout &lt;= 7 days, or Current Stock = 0. Requires immediate purchase order placement to supplier.</w:t>
      </w:r>
    </w:p>
    <w:p>
      <w:pPr>
        <w:spacing w:before="0" w:after="120" w:line="276" w:lineRule="auto"/>
      </w:pPr>
      <w:r>
        <w:rPr>
          <w:rFonts w:ascii="Arial" w:hAnsi="Arial"/>
          <w:b/>
          <w:color w:val="1F2937"/>
          <w:sz w:val="20"/>
        </w:rPr>
        <w:t xml:space="preserve">🟡 Medium Risk / Warning: </w:t>
      </w:r>
      <w:r>
        <w:rPr>
          <w:rFonts w:ascii="Arial" w:hAnsi="Arial"/>
          <w:i w:val="0"/>
          <w:color w:val="1F2937"/>
          <w:sz w:val="20"/>
        </w:rPr>
        <w:t>Days to Stockout between 8 and 14 days, or Current Stock &lt;= Reorder Level. Needs review in the upcoming weekly supplier batch.</w:t>
      </w:r>
    </w:p>
    <w:p>
      <w:pPr>
        <w:spacing w:before="0" w:after="120" w:line="276" w:lineRule="auto"/>
      </w:pPr>
      <w:r>
        <w:rPr>
          <w:rFonts w:ascii="Arial" w:hAnsi="Arial"/>
          <w:b/>
          <w:color w:val="1F2937"/>
          <w:sz w:val="20"/>
        </w:rPr>
        <w:t xml:space="preserve">🟢 Healthy / Low Risk: </w:t>
      </w:r>
      <w:r>
        <w:rPr>
          <w:rFonts w:ascii="Arial" w:hAnsi="Arial"/>
          <w:i w:val="0"/>
          <w:color w:val="1F2937"/>
          <w:sz w:val="20"/>
        </w:rPr>
        <w:t>Days to Stockout &gt;= 15 days. Inventory is healthy and fully covered.</w:t>
      </w:r>
    </w:p>
    <w:p>
      <w:pPr>
        <w:spacing w:before="240" w:after="80"/>
      </w:pPr>
      <w:r>
        <w:rPr>
          <w:rFonts w:ascii="Arial" w:hAnsi="Arial"/>
          <w:b/>
          <w:color w:val="1D4ED8"/>
          <w:sz w:val="22"/>
        </w:rPr>
        <w:t>Multi-Period Horizon Simulation (7d, 14d, 30d)</w:t>
      </w:r>
    </w:p>
    <w:p>
      <w:pPr>
        <w:spacing w:before="0" w:after="120" w:line="276" w:lineRule="auto"/>
      </w:pPr>
      <w:r>
        <w:rPr>
          <w:rFonts w:ascii="Arial" w:hAnsi="Arial"/>
          <w:i w:val="0"/>
          <w:color w:val="1F2937"/>
          <w:sz w:val="20"/>
        </w:rPr>
        <w:t>The engine projects inventory depletion curves across three forward-looking milestones:</w:t>
      </w:r>
    </w:p>
    <w:p>
      <w:pPr>
        <w:spacing w:before="0" w:after="120" w:line="276" w:lineRule="auto"/>
      </w:pPr>
      <w:r>
        <w:rPr>
          <w:rFonts w:ascii="Arial" w:hAnsi="Arial"/>
          <w:b/>
          <w:color w:val="1F2937"/>
          <w:sz w:val="20"/>
        </w:rPr>
        <w:t xml:space="preserve">Simulation Model: </w:t>
      </w:r>
      <w:r>
        <w:rPr>
          <w:rFonts w:ascii="Arial" w:hAnsi="Arial"/>
          <w:i/>
          <w:color w:val="1F2937"/>
          <w:sz w:val="20"/>
        </w:rPr>
        <w:t>Stock(7d) = max(0, Stock - [Daily Velocity × 7] + ReorderLevel × 0.1)</w:t>
        <w:br/>
        <w:t>Stock(14d) = max(0, Stock - [14d Demand] + ReorderLevel × 0.1)</w:t>
        <w:br/>
        <w:t>Stock(30d) = max(0, Stock - [Daily Velocity × 30] + ReorderLevel × 0.1)</w:t>
      </w:r>
    </w:p>
    <w:p>
      <w:pPr>
        <w:spacing w:before="360" w:after="120"/>
      </w:pPr>
      <w:r>
        <w:rPr>
          <w:rFonts w:ascii="Arial" w:hAnsi="Arial"/>
          <w:b/>
          <w:color w:val="0B1736"/>
          <w:sz w:val="28"/>
        </w:rPr>
        <w:t>7. Step-by-Step Operational Guide for JonBrix Staff</w:t>
      </w:r>
    </w:p>
    <w:p>
      <w:pPr>
        <w:spacing w:before="0" w:after="120" w:line="276" w:lineRule="auto"/>
      </w:pPr>
      <w:r>
        <w:rPr>
          <w:rFonts w:ascii="Arial" w:hAnsi="Arial"/>
          <w:b/>
          <w:color w:val="1F2937"/>
          <w:sz w:val="20"/>
        </w:rPr>
        <w:t xml:space="preserve">Step 1 — Daily Morning Review: </w:t>
      </w:r>
      <w:r>
        <w:rPr>
          <w:rFonts w:ascii="Arial" w:hAnsi="Arial"/>
          <w:i w:val="0"/>
          <w:color w:val="1F2937"/>
          <w:sz w:val="20"/>
        </w:rPr>
        <w:t>Navigate to the Stock Prediction tab on the sidebar. Review the top summary cards showing total critical items, items needing reorder, and average days to stockout.</w:t>
      </w:r>
    </w:p>
    <w:p>
      <w:pPr>
        <w:spacing w:before="0" w:after="120" w:line="276" w:lineRule="auto"/>
      </w:pPr>
      <w:r>
        <w:rPr>
          <w:rFonts w:ascii="Arial" w:hAnsi="Arial"/>
          <w:b/>
          <w:color w:val="1F2937"/>
          <w:sz w:val="20"/>
        </w:rPr>
        <w:t xml:space="preserve">Step 2 — Filter High-Risk SKUs: </w:t>
      </w:r>
      <w:r>
        <w:rPr>
          <w:rFonts w:ascii="Arial" w:hAnsi="Arial"/>
          <w:i w:val="0"/>
          <w:color w:val="1F2937"/>
          <w:sz w:val="20"/>
        </w:rPr>
        <w:t>Click the 'Critical Items' filter tab to isolate products running out within 7 days.</w:t>
      </w:r>
    </w:p>
    <w:p>
      <w:pPr>
        <w:spacing w:before="0" w:after="120" w:line="276" w:lineRule="auto"/>
      </w:pPr>
      <w:r>
        <w:rPr>
          <w:rFonts w:ascii="Arial" w:hAnsi="Arial"/>
          <w:b/>
          <w:color w:val="1F2937"/>
          <w:sz w:val="20"/>
        </w:rPr>
        <w:t xml:space="preserve">Step 3 — Inspect Recommended Quantities: </w:t>
      </w:r>
      <w:r>
        <w:rPr>
          <w:rFonts w:ascii="Arial" w:hAnsi="Arial"/>
          <w:i w:val="0"/>
          <w:color w:val="1F2937"/>
          <w:sz w:val="20"/>
        </w:rPr>
        <w:t>Review the suggested 'Recommended Reorder Quantity' column. The numbers are pre-calculated based on 2-week sales demand and momentum.</w:t>
      </w:r>
    </w:p>
    <w:p>
      <w:pPr>
        <w:spacing w:before="0" w:after="120" w:line="276" w:lineRule="auto"/>
      </w:pPr>
      <w:r>
        <w:rPr>
          <w:rFonts w:ascii="Arial" w:hAnsi="Arial"/>
          <w:b/>
          <w:color w:val="1F2937"/>
          <w:sz w:val="20"/>
        </w:rPr>
        <w:t xml:space="preserve">Step 4 — 1-Click Purchase Order: </w:t>
      </w:r>
      <w:r>
        <w:rPr>
          <w:rFonts w:ascii="Arial" w:hAnsi="Arial"/>
          <w:i w:val="0"/>
          <w:color w:val="1F2937"/>
          <w:sz w:val="20"/>
        </w:rPr>
        <w:t>Click 'Create Purchase Order' to automatically export the recommended items directly into an approved Purchase Order grouped by supplier.</w:t>
      </w:r>
    </w:p>
    <w:p>
      <w:pPr>
        <w:spacing w:before="0" w:after="120" w:line="276" w:lineRule="auto"/>
      </w:pPr>
      <w:r>
        <w:rPr>
          <w:rFonts w:ascii="Arial" w:hAnsi="Arial"/>
          <w:b/>
          <w:color w:val="1F2937"/>
          <w:sz w:val="20"/>
        </w:rPr>
        <w:t xml:space="preserve">Step 5 — Inventory Restock: </w:t>
      </w:r>
      <w:r>
        <w:rPr>
          <w:rFonts w:ascii="Arial" w:hAnsi="Arial"/>
          <w:i w:val="0"/>
          <w:color w:val="1F2937"/>
          <w:sz w:val="20"/>
        </w:rPr>
        <w:t>When the supplier delivers the goods, receive the purchase order in the Inventory module. InvenSight automatically recalculates all velocity curves and clears the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