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物流管理与服务系统（CMASS）</w:t>
      </w:r>
    </w:p>
    <w:p>
      <w:pPr>
        <w:jc w:val="center"/>
        <w:rPr>
          <w:rFonts w:ascii="华文中宋" w:hAnsi="华文中宋" w:eastAsia="华文中宋" w:cs="华文中宋"/>
          <w:sz w:val="48"/>
          <w:szCs w:val="48"/>
        </w:rPr>
      </w:pPr>
      <w:r>
        <w:rPr>
          <w:rFonts w:hint="eastAsia" w:ascii="华文中宋" w:hAnsi="华文中宋" w:eastAsia="华文中宋" w:cs="华文中宋"/>
          <w:sz w:val="48"/>
          <w:szCs w:val="48"/>
        </w:rPr>
        <w:t>软件体系结构描述文档</w:t>
      </w:r>
    </w:p>
    <w:p>
      <w:pPr>
        <w:jc w:val="center"/>
        <w:rPr>
          <w:rFonts w:ascii="华文中宋" w:hAnsi="华文中宋" w:eastAsia="华文中宋" w:cs="华文中宋"/>
          <w:szCs w:val="21"/>
        </w:rPr>
      </w:pPr>
      <w:r>
        <w:rPr>
          <w:rFonts w:hint="eastAsia" w:ascii="华文中宋" w:hAnsi="华文中宋" w:eastAsia="华文中宋" w:cs="华文中宋"/>
          <w:szCs w:val="21"/>
        </w:rPr>
        <w:t>--------------V0.1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5" o:spt="75" type="#_x0000_t75" style="height:368.15pt;width:290.7pt;" filled="f" o:preferrelative="t" stroked="f" coordsize="21600,21600">
            <v:path/>
            <v:fill on="f" focussize="0,0"/>
            <v:stroke on="f" joinstyle="miter"/>
            <v:imagedata r:id="rId6" o:title="南京大学LOGO HD 3"/>
            <o:lock v:ext="edit" aspectratio="t"/>
            <w10:wrap type="none"/>
            <w10:anchorlock/>
          </v:shape>
        </w:pic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"_Toc3705" </w:instrText>
      </w:r>
      <w:r>
        <w:fldChar w:fldCharType="separate"/>
      </w:r>
      <w:r>
        <w:rPr>
          <w:rFonts w:hint="eastAsia"/>
        </w:rPr>
        <w:t>1. 引言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"_Toc15145" </w:instrText>
      </w:r>
      <w:r>
        <w:fldChar w:fldCharType="separate"/>
      </w:r>
      <w:r>
        <w:rPr>
          <w:rFonts w:hint="eastAsia"/>
        </w:rPr>
        <w:t>1.1 编制目的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"_Toc13792" </w:instrText>
      </w:r>
      <w:r>
        <w:fldChar w:fldCharType="separate"/>
      </w:r>
      <w:r>
        <w:rPr>
          <w:rFonts w:hint="eastAsia"/>
        </w:rPr>
        <w:t>1.2 词汇表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"_Toc32090" </w:instrText>
      </w:r>
      <w:r>
        <w:fldChar w:fldCharType="separate"/>
      </w:r>
      <w:r>
        <w:rPr>
          <w:rFonts w:hint="eastAsia"/>
        </w:rPr>
        <w:t>1.3 参考资料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"_Toc4671" </w:instrText>
      </w:r>
      <w:r>
        <w:fldChar w:fldCharType="separate"/>
      </w:r>
      <w:r>
        <w:t>2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产品概述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"_Toc6917" </w:instrText>
      </w:r>
      <w:r>
        <w:fldChar w:fldCharType="separate"/>
      </w:r>
      <w:r>
        <w:t>3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逻辑视角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"_Toc19972" </w:instrText>
      </w:r>
      <w:r>
        <w:fldChar w:fldCharType="separate"/>
      </w:r>
      <w:r>
        <w:t>4</w:t>
      </w:r>
      <w:r>
        <w:rPr>
          <w:rFonts w:hint="eastAsia"/>
          <w:kern w:val="44"/>
        </w:rPr>
        <w:t xml:space="preserve">. </w:t>
      </w:r>
      <w:r>
        <w:rPr>
          <w:rFonts w:hint="eastAsia"/>
        </w:rPr>
        <w:t>组合视角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"_Toc8709"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.1 </w:t>
      </w:r>
      <w:r>
        <w:rPr>
          <w:rFonts w:hint="eastAsia"/>
        </w:rPr>
        <w:t>开发包图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"_Toc8246" </w:instrText>
      </w:r>
      <w:r>
        <w:fldChar w:fldCharType="separate"/>
      </w:r>
      <w:r>
        <w:rPr>
          <w:rFonts w:hint="eastAsia"/>
        </w:rPr>
        <w:t>4.1 运行时进程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"_Toc13173" </w:instrText>
      </w:r>
      <w:r>
        <w:fldChar w:fldCharType="separate"/>
      </w:r>
      <w:r>
        <w:t>4</w:t>
      </w:r>
      <w:r>
        <w:rPr>
          <w:rFonts w:ascii="Arial" w:hAnsi="Arial" w:eastAsia="黑体"/>
        </w:rPr>
        <w:t xml:space="preserve">.2 </w:t>
      </w:r>
      <w:r>
        <w:rPr>
          <w:rFonts w:hint="eastAsia"/>
        </w:rPr>
        <w:t>物理部署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"_Toc6898" </w:instrText>
      </w:r>
      <w:r>
        <w:fldChar w:fldCharType="separate"/>
      </w:r>
      <w:r>
        <w:rPr>
          <w:rFonts w:hint="eastAsia"/>
        </w:rPr>
        <w:t>5. 接口视角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"_Toc24773" </w:instrText>
      </w:r>
      <w:r>
        <w:fldChar w:fldCharType="separate"/>
      </w:r>
      <w:r>
        <w:rPr>
          <w:rFonts w:hint="eastAsia"/>
        </w:rPr>
        <w:t>5.1 模块的职责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"_Toc15005" </w:instrText>
      </w:r>
      <w:r>
        <w:fldChar w:fldCharType="separate"/>
      </w:r>
      <w:r>
        <w:rPr>
          <w:rFonts w:hint="eastAsia"/>
        </w:rPr>
        <w:t>5.2 用户界面层的分解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"_Toc2705" </w:instrText>
      </w:r>
      <w:r>
        <w:fldChar w:fldCharType="separate"/>
      </w:r>
      <w:r>
        <w:rPr>
          <w:rFonts w:hint="eastAsia"/>
        </w:rPr>
        <w:t>5.2.1 用户界面层模块的职责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"_Toc9197" </w:instrText>
      </w:r>
      <w:r>
        <w:fldChar w:fldCharType="separate"/>
      </w:r>
      <w:r>
        <w:rPr>
          <w:rFonts w:hint="eastAsia"/>
        </w:rPr>
        <w:t>5.2.2 用户界面层模块的接口规范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"_Toc5916" </w:instrText>
      </w:r>
      <w:r>
        <w:fldChar w:fldCharType="separate"/>
      </w:r>
      <w:r>
        <w:rPr>
          <w:rFonts w:hint="eastAsia"/>
        </w:rPr>
        <w:t>5.2.3 用户界面模块设计原理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"_Toc12027" </w:instrText>
      </w:r>
      <w:r>
        <w:fldChar w:fldCharType="separate"/>
      </w:r>
      <w:r>
        <w:rPr>
          <w:rFonts w:hint="eastAsia"/>
        </w:rPr>
        <w:t>5.3 业务逻辑层的分解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"_Toc17808" </w:instrText>
      </w:r>
      <w:r>
        <w:fldChar w:fldCharType="separate"/>
      </w:r>
      <w:r>
        <w:rPr>
          <w:rFonts w:hint="eastAsia"/>
        </w:rPr>
        <w:t>5.3.1 业务逻辑层模块的职责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"_Toc4074" </w:instrText>
      </w:r>
      <w:r>
        <w:fldChar w:fldCharType="separate"/>
      </w:r>
      <w:r>
        <w:rPr>
          <w:rFonts w:hint="eastAsia"/>
        </w:rPr>
        <w:t>5.3.2 业务逻辑层模块的接口规范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"_Toc19585" </w:instrText>
      </w:r>
      <w:r>
        <w:fldChar w:fldCharType="separate"/>
      </w:r>
      <w:r>
        <w:rPr>
          <w:rFonts w:hint="eastAsia"/>
        </w:rPr>
        <w:t>5.4 数据层的分解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"_Toc12794" </w:instrText>
      </w:r>
      <w:r>
        <w:fldChar w:fldCharType="separate"/>
      </w:r>
      <w:r>
        <w:rPr>
          <w:rFonts w:hint="eastAsia"/>
        </w:rPr>
        <w:t>5.4.1 数据层模块的职责</w:t>
      </w:r>
      <w:r>
        <w:tab/>
      </w:r>
      <w:r>
        <w:fldChar w:fldCharType="end"/>
      </w:r>
    </w:p>
    <w:p>
      <w:pPr>
        <w:pStyle w:val="7"/>
        <w:tabs>
          <w:tab w:val="right" w:leader="dot" w:pos="8455"/>
        </w:tabs>
      </w:pPr>
      <w:r>
        <w:fldChar w:fldCharType="begin"/>
      </w:r>
      <w:r>
        <w:instrText xml:space="preserve"> HYPERLINK \l "_Toc9539" </w:instrText>
      </w:r>
      <w:r>
        <w:fldChar w:fldCharType="separate"/>
      </w:r>
      <w:r>
        <w:rPr>
          <w:rFonts w:hint="eastAsia"/>
        </w:rPr>
        <w:t>5.4.2 数据层模块的接口规范</w:t>
      </w:r>
      <w:r>
        <w:tab/>
      </w:r>
      <w:r>
        <w:fldChar w:fldCharType="end"/>
      </w:r>
    </w:p>
    <w:p>
      <w:pPr>
        <w:pStyle w:val="11"/>
        <w:tabs>
          <w:tab w:val="right" w:leader="dot" w:pos="8455"/>
        </w:tabs>
      </w:pPr>
      <w:r>
        <w:fldChar w:fldCharType="begin"/>
      </w:r>
      <w:r>
        <w:instrText xml:space="preserve"> HYPERLINK \l "_Toc16380" </w:instrText>
      </w:r>
      <w:r>
        <w:fldChar w:fldCharType="separate"/>
      </w:r>
      <w:r>
        <w:rPr>
          <w:rFonts w:hint="eastAsia"/>
        </w:rPr>
        <w:t>6. 信息视角</w:t>
      </w:r>
      <w:r>
        <w:tab/>
      </w:r>
      <w:r>
        <w:fldChar w:fldCharType="end"/>
      </w:r>
    </w:p>
    <w:p>
      <w:pPr>
        <w:pStyle w:val="15"/>
        <w:tabs>
          <w:tab w:val="right" w:leader="dot" w:pos="8455"/>
        </w:tabs>
      </w:pPr>
      <w:r>
        <w:fldChar w:fldCharType="begin"/>
      </w:r>
      <w:r>
        <w:instrText xml:space="preserve"> HYPERLINK \l "_Toc13062" </w:instrText>
      </w:r>
      <w:r>
        <w:fldChar w:fldCharType="separate"/>
      </w:r>
      <w:r>
        <w:rPr>
          <w:rFonts w:hint="eastAsia"/>
        </w:rPr>
        <w:t>6.1 数据持久化对象</w:t>
      </w:r>
      <w:r>
        <w:tab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pStyle w:val="2"/>
      </w:pPr>
      <w:bookmarkStart w:id="0" w:name="_Toc3705"/>
      <w:r>
        <w:rPr>
          <w:rFonts w:hint="eastAsia"/>
        </w:rPr>
        <w:t>1. 引言</w:t>
      </w:r>
      <w:bookmarkEnd w:id="0"/>
    </w:p>
    <w:p>
      <w:pPr>
        <w:pStyle w:val="3"/>
        <w:ind w:left="210"/>
      </w:pPr>
      <w:bookmarkStart w:id="1" w:name="_Toc15145"/>
      <w:r>
        <w:rPr>
          <w:rFonts w:hint="eastAsia"/>
        </w:rPr>
        <w:t>1.1 编制目的</w:t>
      </w:r>
      <w:bookmarkEnd w:id="1"/>
    </w:p>
    <w:p>
      <w:pPr>
        <w:ind w:firstLine="420" w:firstLineChars="20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>
      <w:pPr>
        <w:ind w:firstLine="420" w:firstLineChars="200"/>
      </w:pPr>
      <w:r>
        <w:rPr>
          <w:rFonts w:hint="eastAsia"/>
        </w:rPr>
        <w:t>本报告面向开发人员、测试人员及最终用户而编写，是了解系统的导航。</w:t>
      </w:r>
    </w:p>
    <w:p>
      <w:pPr>
        <w:pStyle w:val="3"/>
        <w:ind w:left="210"/>
      </w:pPr>
      <w:bookmarkStart w:id="2" w:name="_Toc13792"/>
      <w:r>
        <w:rPr>
          <w:rFonts w:hint="eastAsia"/>
        </w:rPr>
        <w:t>1.2 词汇表</w:t>
      </w:r>
      <w:bookmarkEnd w:id="2"/>
    </w:p>
    <w:tbl>
      <w:tblPr>
        <w:tblStyle w:val="25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</w:rPr>
            </w:pPr>
            <w:r>
              <w:rPr>
                <w:rFonts w:hint="eastAsia"/>
                <w:b w:val="0"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ZArriv</w:t>
            </w:r>
            <w:r>
              <w:rPr>
                <w:b/>
                <w:bCs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YDeliver</w:t>
            </w:r>
            <w:r>
              <w:rPr>
                <w:b/>
                <w:bCs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>
            <w:pPr/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/>
          </w:p>
        </w:tc>
      </w:tr>
    </w:tbl>
    <w:p>
      <w:pPr/>
    </w:p>
    <w:p>
      <w:pPr>
        <w:pStyle w:val="3"/>
        <w:ind w:left="210"/>
      </w:pPr>
      <w:bookmarkStart w:id="3" w:name="_Toc32090"/>
      <w:r>
        <w:rPr>
          <w:rFonts w:hint="eastAsia"/>
        </w:rPr>
        <w:t>1.3 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/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>
      <w:pPr>
        <w:ind w:firstLine="420" w:firstLineChars="200"/>
      </w:pPr>
      <w:r>
        <w:rPr>
          <w:rFonts w:hint="eastAsia"/>
        </w:rPr>
        <w:t>逻辑快递系统中，选择了分层体系结构风格，将系统分为三层（展示层、业务逻辑层、数据层）能够很好地示意整个高层抽象。展示层包括GUI页面的实现，业务逻辑层包括业务逻辑处理的实现，数据层负责数据的持久化和访问。分层体系结构的逻辑视角和逻辑设计方案如图所示：</w:t>
      </w:r>
    </w:p>
    <w:p>
      <w:pPr>
        <w:ind w:firstLine="420" w:firstLineChars="200"/>
        <w:jc w:val="center"/>
      </w:pPr>
      <w:r>
        <w:pict>
          <v:shape id="_x0000_i1026" o:spt="75" type="#_x0000_t75" style="height:330.1pt;width:202.4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jc w:val="center"/>
      </w:pPr>
      <w:r>
        <w:rPr>
          <w:rFonts w:hint="eastAsia"/>
        </w:rPr>
        <w:t>图1   参照体系结构风格的包图表达逻辑视角</w:t>
      </w:r>
    </w:p>
    <w:p>
      <w:pPr/>
      <w:r>
        <w:pict>
          <v:shape id="_x0000_i1027" o:spt="75" type="#_x0000_t75" style="height:305pt;width:42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图2</w:t>
      </w:r>
      <w:r>
        <w:t xml:space="preserve">  </w:t>
      </w:r>
      <w:r>
        <w:rPr>
          <w:rFonts w:hint="eastAsia"/>
        </w:rPr>
        <w:t>软件体系结构逻辑设计方案</w:t>
      </w:r>
    </w:p>
    <w:p>
      <w:pPr/>
    </w:p>
    <w:p>
      <w:pPr>
        <w:pStyle w:val="2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>
      <w:pPr>
        <w:pStyle w:val="3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>
      <w:pPr/>
      <w:r>
        <w:rPr>
          <w:rFonts w:hint="eastAsia"/>
        </w:rPr>
        <w:t xml:space="preserve"> 快递系统的最终开发包图如表1所示：</w:t>
      </w:r>
    </w:p>
    <w:p>
      <w:pPr>
        <w:jc w:val="center"/>
        <w:rPr>
          <w:b/>
        </w:rPr>
      </w:pPr>
      <w:r>
        <w:rPr>
          <w:rFonts w:hint="eastAsia"/>
          <w:b/>
        </w:rPr>
        <w:t>表1  快递系统的最终开发包设计</w:t>
      </w:r>
    </w:p>
    <w:tbl>
      <w:tblPr>
        <w:tblStyle w:val="20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mainui</w:t>
            </w:r>
          </w:p>
        </w:tc>
        <w:tc>
          <w:tcPr>
            <w:tcW w:w="6005" w:type="dxa"/>
          </w:tcPr>
          <w:p>
            <w:pPr/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storageui</w:t>
            </w:r>
          </w:p>
        </w:tc>
        <w:tc>
          <w:tcPr>
            <w:tcW w:w="6005" w:type="dxa"/>
          </w:tcPr>
          <w:p>
            <w:pPr/>
            <w:r>
              <w:t>Storageblservice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storagebl</w:t>
            </w:r>
          </w:p>
        </w:tc>
        <w:tc>
          <w:tcPr>
            <w:tcW w:w="6005" w:type="dxa"/>
          </w:tcPr>
          <w:p>
            <w:pPr/>
            <w:r>
              <w:t>storagedataservice</w:t>
            </w:r>
          </w:p>
          <w:p>
            <w:pPr/>
            <w:r>
              <w:t>transferbl</w:t>
            </w:r>
          </w:p>
          <w:p>
            <w:pPr/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storagedata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Logisticsqueryui</w:t>
            </w:r>
          </w:p>
        </w:tc>
        <w:tc>
          <w:tcPr>
            <w:tcW w:w="6005" w:type="dxa"/>
          </w:tcPr>
          <w:p>
            <w:pPr/>
            <w:r>
              <w:t>Logisticsqueryblservice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logisticsquerybl</w:t>
            </w:r>
          </w:p>
        </w:tc>
        <w:tc>
          <w:tcPr>
            <w:tcW w:w="6005" w:type="dxa"/>
          </w:tcPr>
          <w:p>
            <w:pPr/>
            <w:r>
              <w:t>logisticsquerydataservice</w:t>
            </w:r>
          </w:p>
          <w:p>
            <w:pPr/>
            <w:r>
              <w:t>transferbl</w:t>
            </w:r>
          </w:p>
          <w:p>
            <w:pPr/>
            <w:r>
              <w:t>collectionbl</w:t>
            </w:r>
          </w:p>
          <w:p>
            <w:pPr/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logisticsquerydata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Collectionui</w:t>
            </w:r>
          </w:p>
        </w:tc>
        <w:tc>
          <w:tcPr>
            <w:tcW w:w="6005" w:type="dxa"/>
          </w:tcPr>
          <w:p>
            <w:pPr/>
            <w:r>
              <w:t>Collectionblservice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collectionbl</w:t>
            </w:r>
          </w:p>
        </w:tc>
        <w:tc>
          <w:tcPr>
            <w:tcW w:w="6005" w:type="dxa"/>
          </w:tcPr>
          <w:p>
            <w:pPr/>
            <w:r>
              <w:t>Collectiondataservice</w:t>
            </w:r>
          </w:p>
          <w:p>
            <w:pPr/>
            <w:r>
              <w:t>Collectionblservice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collectiondata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Transferui</w:t>
            </w:r>
          </w:p>
        </w:tc>
        <w:tc>
          <w:tcPr>
            <w:tcW w:w="6005" w:type="dxa"/>
          </w:tcPr>
          <w:p>
            <w:pPr/>
            <w:r>
              <w:t>Transferblservice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transferbl</w:t>
            </w:r>
          </w:p>
        </w:tc>
        <w:tc>
          <w:tcPr>
            <w:tcW w:w="6005" w:type="dxa"/>
          </w:tcPr>
          <w:p>
            <w:pPr/>
            <w:r>
              <w:t>Transferdataservice</w:t>
            </w:r>
          </w:p>
          <w:p>
            <w:pPr/>
            <w:r>
              <w:t>Transferblservice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transferdata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Infoblservice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infobl</w:t>
            </w:r>
          </w:p>
        </w:tc>
        <w:tc>
          <w:tcPr>
            <w:tcW w:w="6005" w:type="dxa"/>
          </w:tcPr>
          <w:p>
            <w:pPr/>
            <w:r>
              <w:t>Infodataservice</w:t>
            </w:r>
          </w:p>
          <w:p>
            <w:pPr/>
            <w:r>
              <w:t>Infoblservice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Infodata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financeblservice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financebl</w:t>
            </w:r>
          </w:p>
        </w:tc>
        <w:tc>
          <w:tcPr>
            <w:tcW w:w="6005" w:type="dxa"/>
          </w:tcPr>
          <w:p>
            <w:pPr/>
            <w:r>
              <w:t>financedataservice</w:t>
            </w:r>
          </w:p>
          <w:p>
            <w:pPr/>
            <w:r>
              <w:t>collectionbl</w:t>
            </w:r>
          </w:p>
          <w:p>
            <w:pPr/>
            <w:r>
              <w:t>infobl,</w:t>
            </w:r>
          </w:p>
          <w:p>
            <w:pPr/>
            <w:r>
              <w:t>transferbl</w:t>
            </w:r>
          </w:p>
          <w:p>
            <w:pPr/>
            <w:r>
              <w:t>financeblservice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financedata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>
            <w:pPr/>
            <w:r>
              <w:t>Systemblservice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systembl</w:t>
            </w:r>
          </w:p>
        </w:tc>
        <w:tc>
          <w:tcPr>
            <w:tcW w:w="6005" w:type="dxa"/>
          </w:tcPr>
          <w:p>
            <w:pPr/>
            <w:r>
              <w:t>systemdataservice</w:t>
            </w:r>
          </w:p>
          <w:p>
            <w:pPr/>
            <w:r>
              <w:t>infobl</w:t>
            </w:r>
          </w:p>
          <w:p>
            <w:pPr/>
            <w:r>
              <w:t>systemblservice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systemdata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Approveui</w:t>
            </w:r>
          </w:p>
        </w:tc>
        <w:tc>
          <w:tcPr>
            <w:tcW w:w="6005" w:type="dxa"/>
          </w:tcPr>
          <w:p>
            <w:pPr/>
            <w:r>
              <w:t>Approvebl</w:t>
            </w:r>
          </w:p>
          <w:p>
            <w:pPr/>
            <w:r>
              <w:rPr>
                <w:rFonts w:hint="eastAsia"/>
              </w:rPr>
              <w:t>界面类库包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approveblservice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approvebl</w:t>
            </w:r>
          </w:p>
        </w:tc>
        <w:tc>
          <w:tcPr>
            <w:tcW w:w="6005" w:type="dxa"/>
          </w:tcPr>
          <w:p>
            <w:pPr/>
            <w:r>
              <w:t>Approvedata</w:t>
            </w:r>
          </w:p>
          <w:p>
            <w:pPr/>
            <w:r>
              <w:t>storagebl</w:t>
            </w:r>
          </w:p>
          <w:p>
            <w:pPr/>
            <w:r>
              <w:t>collectionbl</w:t>
            </w:r>
          </w:p>
          <w:p>
            <w:pPr/>
            <w:r>
              <w:t>transferbl</w:t>
            </w:r>
          </w:p>
          <w:p>
            <w:pPr/>
            <w:r>
              <w:t>financebl</w:t>
            </w:r>
          </w:p>
          <w:p>
            <w:pPr/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approvedataservice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approvedata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Java RMI</w:t>
            </w:r>
          </w:p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  <w:p>
            <w:pPr/>
            <w:r>
              <w:rPr>
                <w:rFonts w:hint="eastAsia"/>
              </w:rP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t>VO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/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>
            <w:pPr/>
            <w:r>
              <w:rPr>
                <w:rFonts w:hint="eastAsia"/>
              </w:rPr>
              <w:t>IO</w:t>
            </w:r>
          </w:p>
        </w:tc>
      </w:tr>
    </w:tbl>
    <w:p>
      <w:pPr>
        <w:ind w:left="210"/>
      </w:pPr>
    </w:p>
    <w:p>
      <w:pPr>
        <w:ind w:left="210"/>
      </w:pPr>
      <w:r>
        <w:rPr>
          <w:rFonts w:hint="eastAsia"/>
        </w:rPr>
        <w:t>快递系统的客户端开发包图如下图所示：</w:t>
      </w:r>
    </w:p>
    <w:p>
      <w:pPr>
        <w:ind w:left="210"/>
      </w:pPr>
      <w:r>
        <w:pict>
          <v:shape id="_x0000_i1028" o:spt="75" type="#_x0000_t75" style="height:413pt;width:42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图3  快递系统的客户端开发包图</w:t>
      </w:r>
    </w:p>
    <w:p>
      <w:pPr>
        <w:ind w:left="210"/>
      </w:pPr>
      <w:r>
        <w:pict>
          <v:shape id="_x0000_i1029" o:spt="75" type="#_x0000_t75" style="height:230.95pt;width:422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图4  快递系统的服务器开发包图</w:t>
      </w:r>
    </w:p>
    <w:p>
      <w:pPr>
        <w:ind w:left="210"/>
      </w:pPr>
    </w:p>
    <w:p>
      <w:pPr>
        <w:pStyle w:val="3"/>
        <w:ind w:left="210"/>
      </w:pPr>
      <w:bookmarkStart w:id="8" w:name="_Toc8246"/>
      <w:r>
        <w:rPr>
          <w:rFonts w:hint="eastAsia"/>
        </w:rPr>
        <w:t>4.1 运行时进程</w:t>
      </w:r>
      <w:bookmarkEnd w:id="8"/>
    </w:p>
    <w:p>
      <w:pPr>
        <w:ind w:firstLine="420" w:firstLineChars="20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>
      <w:pPr/>
      <w:r>
        <w:pict>
          <v:shape id="_x0000_i1030" o:spt="75" type="#_x0000_t75" style="height:190.2pt;width:422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图5  进程图</w:t>
      </w:r>
    </w:p>
    <w:p>
      <w:pPr>
        <w:jc w:val="center"/>
      </w:pPr>
    </w:p>
    <w:p>
      <w:pPr>
        <w:pStyle w:val="3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>
      <w:pPr>
        <w:ind w:left="210" w:firstLine="420" w:firstLineChars="200"/>
      </w:pPr>
      <w:r>
        <w:rPr>
          <w:rFonts w:hint="eastAsia"/>
        </w:rPr>
        <w:t>在快递系统中客户端构件是放在客户端机器上，服务器够减是放在服务器机器上。在客户端节点上，还要部署RMIStub构件。由于Java</w:t>
      </w:r>
      <w:r>
        <w:t xml:space="preserve"> R</w:t>
      </w:r>
      <w:r>
        <w:rPr>
          <w:rFonts w:hint="eastAsia"/>
        </w:rPr>
        <w:t>MI构件属于JDK6.0的一部分。所以，在系统JDK环境已经设置好的情况下，不需要在独立部署。部署图如图所示：</w:t>
      </w:r>
    </w:p>
    <w:p>
      <w:pPr>
        <w:ind w:left="210"/>
      </w:pPr>
    </w:p>
    <w:p>
      <w:pPr>
        <w:ind w:left="210"/>
      </w:pPr>
    </w:p>
    <w:p>
      <w:pPr>
        <w:ind w:left="210"/>
      </w:pPr>
      <w:r>
        <w:pict>
          <v:shape id="_x0000_i1031" o:spt="75" type="#_x0000_t75" style="height:330.1pt;width:367.4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210"/>
        <w:jc w:val="center"/>
      </w:pPr>
      <w:r>
        <w:rPr>
          <w:rFonts w:hint="eastAsia"/>
        </w:rPr>
        <w:t>图6  部署图</w:t>
      </w:r>
    </w:p>
    <w:p>
      <w:pPr>
        <w:ind w:left="210"/>
      </w:pPr>
    </w:p>
    <w:p>
      <w:pPr>
        <w:ind w:left="210"/>
      </w:pPr>
    </w:p>
    <w:p>
      <w:pPr>
        <w:ind w:left="210"/>
      </w:pPr>
    </w:p>
    <w:p>
      <w:pPr>
        <w:pStyle w:val="2"/>
      </w:pPr>
      <w:bookmarkStart w:id="10" w:name="_Toc6898"/>
      <w:r>
        <w:rPr>
          <w:rFonts w:hint="eastAsia"/>
        </w:rPr>
        <w:t>5. 接口视角</w:t>
      </w:r>
      <w:bookmarkEnd w:id="10"/>
    </w:p>
    <w:p>
      <w:pPr>
        <w:pStyle w:val="3"/>
        <w:ind w:left="210"/>
      </w:pPr>
      <w:bookmarkStart w:id="11" w:name="_Toc24773"/>
      <w:r>
        <w:rPr>
          <w:rFonts w:hint="eastAsia"/>
        </w:rPr>
        <w:t>5.1 模块的职责</w:t>
      </w:r>
      <w:bookmarkEnd w:id="11"/>
    </w:p>
    <w:p>
      <w:pPr>
        <w:ind w:firstLine="420" w:firstLineChars="200"/>
      </w:pPr>
      <w:r>
        <w:rPr>
          <w:rFonts w:hint="eastAsia"/>
        </w:rPr>
        <w:t>客户端模块额服务器模块视图如图所示，客户端个层和服务器隔层的职责如表所示：</w:t>
      </w:r>
    </w:p>
    <w:p>
      <w:pPr/>
      <w:r>
        <w:pict>
          <v:shape id="_x0000_i1032" o:spt="75" type="#_x0000_t75" style="height:195.6pt;width:422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/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图7  客户端模块视图                             图8  服务器模块视图</w:t>
      </w:r>
    </w:p>
    <w:p>
      <w:pPr>
        <w:jc w:val="center"/>
        <w:rPr>
          <w:b/>
        </w:rPr>
      </w:pPr>
      <w:r>
        <w:rPr>
          <w:rFonts w:hint="eastAsia"/>
          <w:b/>
        </w:rPr>
        <w:t>表2 客户端各层的职责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基于窗口的工作人员使用界面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</w:t>
            </w:r>
            <w:r>
              <w:t xml:space="preserve"> RMI</w:t>
            </w:r>
            <w:r>
              <w:rPr>
                <w:rFonts w:hint="eastAsia"/>
              </w:rPr>
              <w:t>机制查找RMI服务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表3 服务器端各层的职责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负责数据的持久化及数据访问接口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利用Java RMI机制开启RMI服务，注册RMI服务</w:t>
            </w:r>
          </w:p>
        </w:tc>
      </w:tr>
    </w:tbl>
    <w:p>
      <w:pPr/>
    </w:p>
    <w:p>
      <w:pPr/>
      <w:r>
        <w:rPr>
          <w:rFonts w:hint="eastAsia"/>
        </w:rPr>
        <w:t xml:space="preserve">  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表4  层之间调用的接口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>
            <w:pPr>
              <w:jc w:val="center"/>
            </w:pPr>
            <w:r>
              <w:t>Collectionblservice</w:t>
            </w:r>
          </w:p>
          <w:p>
            <w:pPr>
              <w:jc w:val="center"/>
            </w:pPr>
            <w:r>
              <w:t>Transferblservice</w:t>
            </w:r>
          </w:p>
          <w:p>
            <w:pPr>
              <w:jc w:val="center"/>
            </w:pPr>
            <w:r>
              <w:t>Infoblservice</w:t>
            </w:r>
          </w:p>
          <w:p>
            <w:pPr>
              <w:jc w:val="center"/>
            </w:pPr>
            <w:r>
              <w:t>Financeblservice</w:t>
            </w:r>
          </w:p>
          <w:p>
            <w:pPr>
              <w:jc w:val="center"/>
            </w:pPr>
            <w:r>
              <w:t>approveblservice</w:t>
            </w:r>
          </w:p>
          <w:p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>
            <w:pPr>
              <w:jc w:val="center"/>
            </w:pPr>
            <w:r>
              <w:t>Collectiondataservice</w:t>
            </w:r>
          </w:p>
          <w:p>
            <w:pPr>
              <w:jc w:val="center"/>
            </w:pPr>
            <w:r>
              <w:t>Transferdataservice</w:t>
            </w:r>
          </w:p>
          <w:p>
            <w:pPr>
              <w:jc w:val="center"/>
            </w:pPr>
            <w:r>
              <w:t>Infobdataservice</w:t>
            </w:r>
          </w:p>
          <w:p>
            <w:pPr>
              <w:jc w:val="center"/>
            </w:pPr>
            <w:r>
              <w:t>Financedataservice</w:t>
            </w:r>
          </w:p>
          <w:p>
            <w:pPr>
              <w:jc w:val="center"/>
            </w:pPr>
            <w:r>
              <w:t>approvedataservice</w:t>
            </w:r>
          </w:p>
          <w:p>
            <w:pPr>
              <w:jc w:val="center"/>
            </w:pPr>
            <w:r>
              <w:t>systemdataservice</w:t>
            </w:r>
          </w:p>
          <w:p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>
      <w:pPr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揽件用例层之间调用的接口</w:t>
      </w:r>
    </w:p>
    <w:p>
      <w:pPr>
        <w:pStyle w:val="3"/>
        <w:ind w:left="210"/>
      </w:pPr>
      <w:bookmarkStart w:id="12" w:name="_Toc15005"/>
      <w:r>
        <w:rPr>
          <w:rFonts w:hint="eastAsia"/>
        </w:rPr>
        <w:t>5.2 用户界面层的分解</w:t>
      </w:r>
      <w:bookmarkEnd w:id="12"/>
    </w:p>
    <w:p>
      <w:pPr>
        <w:ind w:firstLine="420" w:firstLineChars="200"/>
      </w:pPr>
      <w:r>
        <w:rPr>
          <w:rFonts w:hint="eastAsia"/>
        </w:rPr>
        <w:t>根据需求，系统存在38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图10 用户界面跳转</w:t>
      </w:r>
    </w:p>
    <w:p>
      <w:pPr/>
      <w:r>
        <w:rPr>
          <w:rFonts w:hint="eastAsia"/>
        </w:rPr>
        <w:t>服务器端和客户端的用户界面设计接口是一致的，知识具体的页面不一样。用户界面类如下图所示：</w:t>
      </w:r>
    </w:p>
    <w:p>
      <w:pPr>
        <w:pStyle w:val="4"/>
        <w:ind w:left="420"/>
      </w:pPr>
      <w:bookmarkStart w:id="13" w:name="_Toc2705"/>
      <w:r>
        <w:rPr>
          <w:rFonts w:hint="eastAsia"/>
        </w:rPr>
        <w:t>5.2.1 用户界面层模块的职责</w:t>
      </w:r>
      <w:bookmarkEnd w:id="13"/>
    </w:p>
    <w:p>
      <w:pPr/>
      <w:r>
        <w:rPr>
          <w:rFonts w:hint="eastAsia"/>
        </w:rPr>
        <w:t>如表5</w:t>
      </w:r>
      <w:r>
        <w:t>所示为用户界面模块的职责。</w:t>
      </w:r>
    </w:p>
    <w:p>
      <w:pPr>
        <w:jc w:val="center"/>
        <w:rPr>
          <w:b/>
        </w:rPr>
      </w:pPr>
      <w:r>
        <w:rPr>
          <w:rFonts w:hint="eastAsia"/>
          <w:b/>
        </w:rPr>
        <w:t>表5  用户界面模块的职责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>
      <w:pPr>
        <w:pStyle w:val="4"/>
        <w:ind w:left="420"/>
      </w:pPr>
      <w:bookmarkStart w:id="14" w:name="_Toc9197"/>
      <w:r>
        <w:rPr>
          <w:rFonts w:hint="eastAsia"/>
        </w:rPr>
        <w:t>5.2.2 用户界面层模块的接口规范</w:t>
      </w:r>
      <w:bookmarkEnd w:id="14"/>
    </w:p>
    <w:p>
      <w:pPr/>
      <w:r>
        <w:rPr>
          <w:rFonts w:hint="eastAsia"/>
        </w:rPr>
        <w:t>用户界面</w:t>
      </w:r>
      <w:r>
        <w:t xml:space="preserve">模块的接口规范如表6 </w:t>
      </w:r>
      <w:r>
        <w:rPr>
          <w:rFonts w:hint="eastAsia"/>
        </w:rPr>
        <w:t>所示</w:t>
      </w:r>
      <w:r>
        <w:t>。</w:t>
      </w:r>
    </w:p>
    <w:p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058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frame以及LoginPanel</w:t>
            </w:r>
          </w:p>
        </w:tc>
      </w:tr>
    </w:tbl>
    <w:p>
      <w:pPr/>
      <w:r>
        <w:rPr>
          <w:rFonts w:hint="eastAsia"/>
        </w:rPr>
        <w:t>用户界面层</w:t>
      </w:r>
      <w:r>
        <w:t>需要的服务接口如表7所示。</w:t>
      </w:r>
    </w:p>
    <w:p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>
      <w:pPr/>
    </w:p>
    <w:p>
      <w:pPr>
        <w:pStyle w:val="4"/>
        <w:ind w:left="420"/>
      </w:pPr>
      <w:bookmarkStart w:id="15" w:name="_Toc5916"/>
      <w:r>
        <w:rPr>
          <w:rFonts w:hint="eastAsia"/>
        </w:rPr>
        <w:t>5.2.3 用户界面模块设计原理</w:t>
      </w:r>
      <w:bookmarkEnd w:id="15"/>
    </w:p>
    <w:p>
      <w:pPr/>
      <w:r>
        <w:rPr>
          <w:rFonts w:hint="eastAsia"/>
        </w:rPr>
        <w:t>用户界面利用</w:t>
      </w:r>
      <w:r>
        <w:t>Java的Swing和AWT库来实现。</w:t>
      </w:r>
    </w:p>
    <w:p>
      <w:pPr/>
    </w:p>
    <w:p>
      <w:pPr>
        <w:pStyle w:val="3"/>
        <w:ind w:left="210"/>
      </w:pPr>
      <w:bookmarkStart w:id="16" w:name="_Toc12027"/>
      <w:r>
        <w:rPr>
          <w:rFonts w:hint="eastAsia"/>
        </w:rPr>
        <w:t>5.3 业务逻辑层的分解</w:t>
      </w:r>
      <w:bookmarkEnd w:id="16"/>
    </w:p>
    <w:p>
      <w:pPr/>
      <w:r>
        <w:pict>
          <v:shape id="_x0000_i1033" o:spt="75" type="#_x0000_t75" style="height:239.1pt;width:42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/>
    </w:p>
    <w:p>
      <w:pPr>
        <w:pStyle w:val="4"/>
        <w:ind w:left="420"/>
        <w:rPr>
          <w:rFonts w:hint="eastAsia"/>
        </w:rPr>
      </w:pPr>
      <w:bookmarkStart w:id="17" w:name="_Toc17808"/>
      <w:r>
        <w:rPr>
          <w:rFonts w:hint="eastAsia"/>
        </w:rPr>
        <w:t>5.3.1 业务逻辑层模块的职责</w:t>
      </w:r>
      <w:bookmarkEnd w:id="17"/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表8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负责实现对应与揽件界面所需要的服务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</w:t>
            </w:r>
            <w:ins w:id="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 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负责实现对应与物流查询界面所需要的服务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、登陆账户查验界面所需要的服务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负责实现对应与车辆装车管理、交通装运管理、派件与</w:t>
            </w:r>
            <w:ins w:id="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80" w:type="dxa"/>
            <w:vAlign w:val="top"/>
          </w:tcPr>
          <w:p>
            <w:pPr/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  <w:vAlign w:val="top"/>
          </w:tcPr>
          <w:p>
            <w:pPr/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pStyle w:val="4"/>
        <w:ind w:left="420"/>
        <w:rPr>
          <w:rFonts w:hint="eastAsia"/>
        </w:rPr>
      </w:pPr>
      <w:bookmarkStart w:id="18" w:name="_Toc4074"/>
      <w:r>
        <w:rPr>
          <w:rFonts w:hint="eastAsia"/>
        </w:rPr>
        <w:t>5.3.2 业务逻辑层模块的接口规范</w:t>
      </w:r>
      <w:bookmarkEnd w:id="18"/>
    </w:p>
    <w:p>
      <w:pPr/>
    </w:p>
    <w:p>
      <w:pPr>
        <w:jc w:val="center"/>
      </w:pPr>
      <w:r>
        <w:rPr>
          <w:rFonts w:hint="eastAsia"/>
          <w:b/>
        </w:rPr>
        <w:t>表9</w:t>
      </w:r>
      <w:r>
        <w:rPr>
          <w:b/>
        </w:rPr>
        <w:t xml:space="preserve">  </w:t>
      </w:r>
      <w:r>
        <w:rPr>
          <w:rFonts w:hint="eastAsia"/>
          <w:b/>
        </w:rPr>
        <w:t>Collectionbl模块的接口规范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  <w:gridCol w:w="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5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Collection.saveSendDocPO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void saveSendDocPO(SendDocPO po)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SenddocPO存在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Collection.getDistance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double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  <w:lang w:val="en-US" w:eastAsia="zh-CN"/>
              </w:rPr>
              <w:t>城市距离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Collection.getSequence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String getSequence()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  <w:lang w:val="en-US" w:eastAsia="zh-CN"/>
              </w:rPr>
              <w:t>寄件单序号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Collection.changeSequence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changeSequence()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寄件单已保存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更改序号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Collection.getAllSendDoc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获取所有未审批单据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Collection.getCourierMoney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double getCourierMoney(String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得到快递员的</w:t>
            </w:r>
            <w:r>
              <w:rPr>
                <w:rFonts w:hint="eastAsia"/>
                <w:lang w:val="en-US" w:eastAsia="zh-CN"/>
              </w:rPr>
              <w:t>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reateSendDocVO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SendDocVO createSendDocVO(String sName,String sCity,String sAddress, String sUnit,String sTelePhone,String sMobilePhone,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rName,String rCity,String rAddress,String rUnit,String rTelePhone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,String rMobilePhone,int itemNum,double weight,double[] volume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,String itemKind,int packageType,int sendType)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数据完整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获取寄件单vo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Collection.timeEstimate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int timeEstimate(String sCity,String rCity)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获取预估时间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Collection.priceCalc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double priceCalc(String sCity,String rCity,int packing,double[] volume,double weight,int sendType)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计算价格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SendDocPO getSendDocPOByID(String itemID)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获取寄件单po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Collection.getSendDocsByID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ArrayList&lt;String&gt; getSendDocsByID(String courier_ID)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获取该快递员的寄件单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Collection.saveSendDocCreateGatheringDoc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saveSendDocCreateGatheringDoc(String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重置快递员业绩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Collection.getHistoryPO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public SendDocPO getSendDocPOByID(String itemID)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获取寄件单po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ArrayList&lt;HistoryTimePO&gt; getHistoryPO(String sCity, String rCity)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获取寄件历史时间记录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Collection.confirmSave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 confirmSave()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已生成单据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8391" w:type="dxa"/>
            <w:gridSpan w:val="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/>
            <w:r>
              <w:rPr>
                <w:rFonts w:hint="eastAsia"/>
              </w:rPr>
              <w:t>CollectionDataService.changeSequence(</w:t>
            </w:r>
            <w:r>
              <w:rPr>
                <w:rFonts w:hint="eastAsia"/>
                <w:lang w:val="en-US" w:eastAsia="zh-CN"/>
              </w:rPr>
              <w:t xml:space="preserve">string 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4173" w:type="dxa"/>
            <w:gridSpan w:val="2"/>
            <w:vAlign w:val="top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CollectionDataService.getSendDocPOByID(String ID)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根据id获取寄件单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CollectionDataService.getAllSendDoc()t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获取未审批寄件单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CollectionDataService.saveCourierMoneyPO(CourierMoneyPO po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保存快递员业绩记录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  <w:trHeight w:val="0" w:hRule="atLeast"/>
        </w:trPr>
        <w:tc>
          <w:tcPr>
            <w:tcW w:w="421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CollectionDataService.getCourierMoneyPO(String courierID)</w:t>
            </w:r>
          </w:p>
        </w:tc>
        <w:tc>
          <w:tcPr>
            <w:tcW w:w="4173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获取快递员业绩记录</w:t>
            </w:r>
          </w:p>
        </w:tc>
      </w:tr>
    </w:tbl>
    <w:p>
      <w:pPr/>
    </w:p>
    <w:p>
      <w:pPr/>
    </w:p>
    <w:p>
      <w:pPr/>
    </w:p>
    <w:p>
      <w:pPr>
        <w:jc w:val="center"/>
      </w:pPr>
      <w:r>
        <w:rPr>
          <w:rFonts w:hint="eastAsia"/>
          <w:b/>
        </w:rPr>
        <w:t>表10</w:t>
      </w:r>
      <w:r>
        <w:rPr>
          <w:b/>
        </w:rPr>
        <w:t xml:space="preserve">  </w:t>
      </w:r>
      <w:r>
        <w:rPr>
          <w:rFonts w:hint="eastAsia"/>
          <w:b/>
        </w:rPr>
        <w:t>Transferbl模块的接口规范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373"/>
        <w:gridCol w:w="367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编号正确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ransferbl.confirmSave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 confirmSave()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已生成单据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确认保存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Transferbl.getDocPO(string id)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  <w:lang w:val="en-US" w:eastAsia="zh-CN"/>
              </w:rPr>
              <w:t xml:space="preserve"> po getDocPO(string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Transferbl.getUnpaidDocPO(string id)</w:t>
            </w: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  <w:lang w:val="en-US" w:eastAsia="zh-CN"/>
              </w:rPr>
              <w:t xml:space="preserve"> arraylist getUnpaidDocPO()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获取未付款单据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40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35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4428" w:type="dxa"/>
            <w:gridSpan w:val="2"/>
          </w:tcPr>
          <w:p>
            <w:pPr/>
          </w:p>
        </w:tc>
        <w:tc>
          <w:tcPr>
            <w:tcW w:w="3868" w:type="dxa"/>
            <w:gridSpan w:val="2"/>
          </w:tcPr>
          <w:p>
            <w:pPr/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restart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vMerge w:val="continue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遍历本中转中心未出库的中转单，返回一个中转单列表VO对象，用于展示层显示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根据选中的中转单编号查询该中转单信息，返回一个TransferDocVO对象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遍历本中转中心仓库的所有接收单，返回一个接收单列表VO对象，用于展示层展示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返回仓库所有库存商品记录的VO对象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>
      <w:pPr>
        <w:jc w:val="center"/>
        <w:rPr>
          <w:b/>
        </w:rPr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237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restart"/>
          </w:tcPr>
          <w:p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  <w:vMerge w:val="continue"/>
          </w:tcPr>
          <w:p>
            <w:pPr/>
          </w:p>
        </w:tc>
        <w:tc>
          <w:tcPr>
            <w:tcW w:w="237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>
            <w:pPr/>
            <w:r>
              <w:rPr>
                <w:rFonts w:hint="eastAsia"/>
              </w:rPr>
              <w:t>返回对应快递的物流信息给展示层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6" w:type="dxa"/>
          </w:tcPr>
          <w:p>
            <w:pPr/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20"/>
        <w:tblpPr w:leftFromText="180" w:rightFromText="180" w:vertAnchor="page" w:horzAnchor="margin" w:tblpY="57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152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left="2520" w:firstLine="420"/>
            </w:pPr>
            <w:r>
              <w:rPr>
                <w:rFonts w:hint="eastAsia"/>
              </w:rPr>
              <w:t>提供的</w:t>
            </w:r>
            <w:r>
              <w:t>服务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bl.getSalary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GetSalary()；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读入</w:t>
            </w:r>
            <w:r>
              <w:rPr>
                <w:rFonts w:hint="eastAsia"/>
              </w:rPr>
              <w:t>工资总额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Infobl.getIncome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IncomePO</w:t>
            </w:r>
            <w:r>
              <w:rPr>
                <w:rFonts w:hint="eastAsia"/>
              </w:rPr>
              <w:t>&gt;</w:t>
            </w:r>
            <w:r>
              <w:t xml:space="preserve"> GetIncome()；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从文件</w:t>
            </w:r>
            <w:r>
              <w:t>中读入总收入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Infobl.getCourierList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CourierPO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GetCourierList();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得到</w:t>
            </w:r>
            <w:r>
              <w:t>本机构快递员列表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restart"/>
          </w:tcPr>
          <w:p>
            <w:pPr/>
            <w:r>
              <w:rPr>
                <w:rFonts w:hint="eastAsia"/>
              </w:rPr>
              <w:t>Infobl.findStaff</w:t>
            </w:r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登陆</w:t>
            </w:r>
            <w:r>
              <w:t>账户已被授权和验证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7" w:type="dxa"/>
            <w:vMerge w:val="continue"/>
          </w:tcPr>
          <w:p>
            <w:pPr/>
          </w:p>
        </w:tc>
        <w:tc>
          <w:tcPr>
            <w:tcW w:w="1523" w:type="dxa"/>
          </w:tcPr>
          <w:p>
            <w:pPr/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获取</w:t>
            </w:r>
            <w:r>
              <w:t>未分配</w:t>
            </w:r>
            <w:r>
              <w:rPr>
                <w:rFonts w:hint="eastAsia"/>
              </w:rPr>
              <w:t>账户</w:t>
            </w:r>
            <w:r>
              <w:t>的人员列表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t xml:space="preserve">                             </w:t>
            </w:r>
            <w:r>
              <w:rPr>
                <w:rFonts w:hint="eastAsia"/>
              </w:rPr>
              <w:t>需要的</w:t>
            </w:r>
            <w:r>
              <w:t>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保存司机信息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员工机构信息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3906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表14 Systembl</w:t>
      </w:r>
      <w:r>
        <w:rPr>
          <w:b/>
        </w:rPr>
        <w:t>的接口规范</w:t>
      </w:r>
    </w:p>
    <w:tbl>
      <w:tblPr>
        <w:tblStyle w:val="20"/>
        <w:tblpPr w:leftFromText="180" w:rightFromText="180" w:vertAnchor="page" w:horzAnchor="margin" w:tblpY="18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获得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查找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Info</w:t>
            </w:r>
            <w:r>
              <w:t>bl.findStaffList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新建</w:t>
            </w:r>
            <w:r>
              <w:t>账户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获取未分配的</w:t>
            </w:r>
            <w:r>
              <w:t>人员列表</w:t>
            </w:r>
            <w:r>
              <w:rPr>
                <w:rFonts w:hint="eastAsia"/>
              </w:rPr>
              <w:t>（</w:t>
            </w:r>
            <w:r>
              <w:t>POList）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</w:t>
            </w:r>
            <w:r>
              <w:t>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561" w:type="dxa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3736" w:type="dxa"/>
          </w:tcPr>
          <w:p>
            <w:pPr/>
            <w:r>
              <w:rPr>
                <w:rFonts w:hint="eastAsia"/>
              </w:rPr>
              <w:t>保存修改的</w:t>
            </w:r>
            <w:r>
              <w:t>账户密码</w:t>
            </w:r>
            <w:r>
              <w:rPr>
                <w:rFonts w:hint="eastAsia"/>
              </w:rPr>
              <w:t>权限</w:t>
            </w:r>
            <w:r>
              <w:t>信息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表15 </w:t>
      </w:r>
      <w:r>
        <w:rPr>
          <w:b/>
        </w:rPr>
        <w:t>Approvebl的接口规范</w:t>
      </w:r>
    </w:p>
    <w:tbl>
      <w:tblPr>
        <w:tblStyle w:val="20"/>
        <w:tblpPr w:leftFromText="180" w:rightFromText="180" w:vertAnchor="page" w:horzAnchor="margin" w:tblpY="490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rehouseDoc(po</w:t>
            </w:r>
            <w:r>
              <w:rPr>
                <w:rFonts w:hint="eastAsia"/>
              </w:rPr>
              <w:t>对象</w:t>
            </w:r>
            <w:r>
              <w:t>)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得到入库单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ransferbl</w:t>
            </w:r>
            <w:r>
              <w:t>.getYDeliverDoc</w:t>
            </w:r>
          </w:p>
          <w:p>
            <w:pPr/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</w:t>
            </w:r>
            <w:r>
              <w:t>YArrivalDoc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</w:t>
            </w:r>
            <w:r>
              <w:t>sferbl.getZArrivalDoc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Transferbl.getTransfer</w:t>
            </w:r>
            <w:r>
              <w:t>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nsferbl.getYloadDoc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Transferbl.getZloadDoc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</w:t>
            </w:r>
            <w:r>
              <w:rPr>
                <w:rFonts w:hint="eastAsia"/>
              </w:rPr>
              <w:t>ollectionbl.getSendDoc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inancebl.getPayDoc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得到付款单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inancebl.</w:t>
            </w:r>
            <w:r>
              <w:t>getGatheringDoc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得到收款单</w:t>
            </w:r>
          </w:p>
        </w:tc>
      </w:tr>
    </w:tbl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 xml:space="preserve">表16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ncebl的接口规范</w:t>
      </w:r>
    </w:p>
    <w:tbl>
      <w:tblPr>
        <w:tblStyle w:val="20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164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public PayDoc getPayDoc();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总经理得到付款单文件并可修改付款单的PO对象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</w:p>
        </w:tc>
        <w:tc>
          <w:tcPr>
            <w:tcW w:w="1641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>
            <w:pPr/>
            <w:r>
              <w:rPr>
                <w:rFonts w:hint="eastAsia"/>
              </w:rPr>
              <w:t>总经理得到收款单文件并可修改收款单的PO对象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得到工资的总额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输入装车单编号分别得到运费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更新账户（修改账户名称）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增加账户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得到总收入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 Pay</w:t>
            </w:r>
            <w:r>
              <w:t>Doc（Time startTime,Time endTime）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得到本机构快递员列表（POli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>
      <w:pPr/>
    </w:p>
    <w:p>
      <w:pPr>
        <w:pStyle w:val="3"/>
        <w:ind w:left="210"/>
      </w:pPr>
      <w:bookmarkStart w:id="19" w:name="_Toc19585"/>
      <w:r>
        <w:rPr>
          <w:rFonts w:hint="eastAsia"/>
        </w:rPr>
        <w:t>5.4 数据层的分解</w:t>
      </w:r>
      <w:bookmarkEnd w:id="19"/>
    </w:p>
    <w:p>
      <w:pPr>
        <w:ind w:firstLine="420" w:firstLineChars="200"/>
      </w:pPr>
      <w:r>
        <w:rPr>
          <w:rFonts w:hint="eastAsia"/>
        </w:rPr>
        <w:t>数据层主要给业务逻辑层提供数据访问服务，包括对于持久化数据的增删改查。Collection业务逻辑层需要的服务有CollectionDataService接口提供。由于持久化数据的保存主要为序列化文件，所示抽象了数据服务。数据层模块的描述具体如图所示。</w:t>
      </w:r>
    </w:p>
    <w:p>
      <w:pPr>
        <w:jc w:val="center"/>
      </w:pPr>
      <w:r>
        <w:pict>
          <v:shape id="_x0000_i1034" o:spt="75" type="#_x0000_t75" style="height:293.45pt;width:182.7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jc w:val="center"/>
      </w:pPr>
      <w:r>
        <w:rPr>
          <w:rFonts w:hint="eastAsia"/>
        </w:rPr>
        <w:t>图13</w:t>
      </w:r>
      <w:r>
        <w:t xml:space="preserve">  </w:t>
      </w:r>
      <w:r>
        <w:rPr>
          <w:rFonts w:hint="eastAsia"/>
        </w:rPr>
        <w:t>数据层模块的描述</w:t>
      </w:r>
    </w:p>
    <w:p>
      <w:pPr>
        <w:jc w:val="center"/>
      </w:pPr>
    </w:p>
    <w:p>
      <w:pPr/>
    </w:p>
    <w:p>
      <w:pPr>
        <w:pStyle w:val="4"/>
        <w:ind w:left="420"/>
      </w:pPr>
      <w:bookmarkStart w:id="20" w:name="_Toc12794"/>
      <w:r>
        <w:rPr>
          <w:rFonts w:hint="eastAsia"/>
        </w:rPr>
        <w:t>5.4.1 数据层模块的职责</w:t>
      </w:r>
      <w:bookmarkEnd w:id="20"/>
    </w:p>
    <w:p>
      <w:pPr/>
    </w:p>
    <w:p>
      <w:pPr>
        <w:jc w:val="center"/>
      </w:pPr>
      <w:r>
        <w:rPr>
          <w:rFonts w:hint="eastAsia"/>
          <w:b/>
        </w:rPr>
        <w:t>表17 数据层模块的职责</w:t>
      </w:r>
    </w:p>
    <w:tbl>
      <w:tblPr>
        <w:tblStyle w:val="20"/>
        <w:tblpPr w:leftFromText="180" w:rightFromText="180" w:vertAnchor="text" w:horzAnchor="margin" w:tblpY="7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/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>
            <w:pPr/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>
      <w:pPr>
        <w:pStyle w:val="4"/>
        <w:ind w:left="420"/>
      </w:pPr>
      <w:bookmarkStart w:id="21" w:name="_Toc9539"/>
      <w:r>
        <w:rPr>
          <w:rFonts w:hint="eastAsia"/>
        </w:rPr>
        <w:t>5.4.2 数据层模块的接口规范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 xml:space="preserve">表18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258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/>
            <w:r>
              <w:rPr>
                <w:rFonts w:hint="eastAsia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根据具体的仓库数据持久化对象更新仓库记录文件(点击更新按钮时调用这个方法)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返回仓库所有库存记录对象PO列表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updateInWarehouseDoc (InWarehouseDocPO  t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restart"/>
          </w:tcPr>
          <w:p>
            <w:pPr/>
            <w:r>
              <w:t>StorageDataService.find(int  StorageItemID)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  <w:vMerge w:val="continue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到待审批出库单，返回值是一个PO对象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0" w:type="dxa"/>
          </w:tcPr>
          <w:p>
            <w:pPr/>
          </w:p>
        </w:tc>
        <w:tc>
          <w:tcPr>
            <w:tcW w:w="1258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>
            <w:pPr/>
            <w:r>
              <w:rPr>
                <w:rFonts w:hint="eastAsia"/>
              </w:rPr>
              <w:t>得到待审批入库单，返回一个POlist</w:t>
            </w:r>
          </w:p>
        </w:tc>
      </w:tr>
    </w:tbl>
    <w:p>
      <w:pPr/>
    </w:p>
    <w:p>
      <w:pPr>
        <w:jc w:val="center"/>
      </w:pPr>
      <w:r>
        <w:rPr>
          <w:rFonts w:hint="eastAsia"/>
          <w:b/>
        </w:rPr>
        <w:t>表19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134"/>
        <w:gridCol w:w="4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得到财务人员列表便于选择付款人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获得司机信息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dataservice.findCar</w:t>
            </w:r>
          </w:p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增加一个司机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增加一个车辆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增加一个薪水</w:t>
            </w:r>
            <w:r>
              <w:t>PO记录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增加一个人员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增加一个机构</w:t>
            </w:r>
            <w:r>
              <w:t>PO记录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/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>
            <w:pPr/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>
            <w:pPr/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表20 Systemdataservice的</w:t>
      </w:r>
      <w:r>
        <w:rPr>
          <w:b/>
        </w:rPr>
        <w:t>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3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3045" w:firstLineChars="1450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返回Operation</w:t>
            </w:r>
            <w:r>
              <w:t>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返回</w:t>
            </w:r>
            <w:r>
              <w:t>所有账户的List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文件</w:t>
            </w:r>
            <w:r>
              <w:t>中不存在相同的PO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</w:tcPr>
          <w:p>
            <w:pPr/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</w:tcPr>
          <w:p>
            <w:pPr/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>
            <w:pPr/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 xml:space="preserve">表21 </w:t>
      </w:r>
      <w:r>
        <w:rPr>
          <w:b/>
        </w:rPr>
        <w:t>F</w:t>
      </w:r>
      <w:r>
        <w:rPr>
          <w:rFonts w:hint="eastAsia"/>
          <w:b/>
        </w:rPr>
        <w:t>inancedataservice的接口规范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32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得到财务人员填写的总租金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更新付款单文件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修改账户名称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删除该账户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增加一个账户，其金额设为0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Public list&lt;Accoutnt&gt; getAccount()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得到公司的银行账户列表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Financedataservice.getPay</w:t>
            </w:r>
            <w:r>
              <w:t>Doc（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得到期间付款单列表（PO）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>
            <w:pPr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/>
          </w:p>
        </w:tc>
        <w:tc>
          <w:tcPr>
            <w:tcW w:w="132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>
            <w:pPr/>
            <w:r>
              <w:rPr>
                <w:rFonts w:hint="eastAsia"/>
              </w:rPr>
              <w:t>得到期间收款单列表（PO）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表22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changeSequence(int 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CollectionDataService.saveCourierMoneyPO</w:t>
            </w: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void saveCourierMoneyPO(CourierMoneyPO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  <w:lang w:val="en-US" w:eastAsia="zh-CN"/>
              </w:rPr>
              <w:t>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CollectionDataService.getCourierMoneyPO</w:t>
            </w: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CourierMoneyPO getCourierMoneyPO(String courierID)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获取快递员业绩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</w:tbl>
    <w:p>
      <w:pPr/>
    </w:p>
    <w:p>
      <w:pPr/>
    </w:p>
    <w:p>
      <w:pPr>
        <w:jc w:val="center"/>
        <w:rPr>
          <w:b/>
        </w:rPr>
      </w:pPr>
      <w:r>
        <w:rPr>
          <w:rFonts w:hint="eastAsia"/>
          <w:b/>
        </w:rPr>
        <w:t>表23 TransferDataService的接口规范</w:t>
      </w:r>
    </w:p>
    <w:tbl>
      <w:tblPr>
        <w:tblStyle w:val="20"/>
        <w:tblW w:w="8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740"/>
        <w:gridCol w:w="3501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restart"/>
          </w:tcPr>
          <w:p>
            <w:pPr/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得到待审批中转中心装车单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Transferbl.getDocPO(string id)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  <w:lang w:val="en-US" w:eastAsia="zh-CN"/>
              </w:rPr>
              <w:t xml:space="preserve"> po getDocPO(string 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Transferbl.getUnpaidDocPO(string id)</w:t>
            </w:r>
          </w:p>
        </w:tc>
        <w:tc>
          <w:tcPr>
            <w:tcW w:w="17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  <w:lang w:val="en-US" w:eastAsia="zh-CN"/>
              </w:rPr>
              <w:t xml:space="preserve"> arraylist getUnpaidDocPO()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5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获取未付款单据</w:t>
            </w:r>
          </w:p>
        </w:tc>
      </w:tr>
    </w:tbl>
    <w:p>
      <w:pPr/>
      <w:bookmarkStart w:id="24" w:name="_GoBack"/>
      <w:bookmarkEnd w:id="24"/>
    </w:p>
    <w:p>
      <w:pPr/>
    </w:p>
    <w:p>
      <w:pPr>
        <w:pStyle w:val="2"/>
      </w:pPr>
      <w:bookmarkStart w:id="22" w:name="_Toc16380"/>
      <w:r>
        <w:rPr>
          <w:rFonts w:hint="eastAsia"/>
        </w:rPr>
        <w:t>6. 信息视角</w:t>
      </w:r>
      <w:bookmarkEnd w:id="22"/>
    </w:p>
    <w:p>
      <w:pPr>
        <w:pStyle w:val="3"/>
        <w:ind w:left="210"/>
      </w:pPr>
      <w:bookmarkStart w:id="23" w:name="_Toc13062"/>
      <w:r>
        <w:rPr>
          <w:rFonts w:hint="eastAsia"/>
        </w:rPr>
        <w:t>6.1 数据持久化对象</w:t>
      </w:r>
      <w:bookmarkEnd w:id="23"/>
    </w:p>
    <w:p>
      <w:pPr/>
      <w:r>
        <w:rPr>
          <w:rFonts w:hint="eastAsia"/>
        </w:rPr>
        <w:t>系统的PO类就是对应的相关的实体类，在此只做简单的介绍。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AccountPO类就是银行账户，包含账户名称、账户余额属性。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BusinessHallPO包含所在城市、本机构类型、机构名称属性。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CarPO包含汽车编号、车牌号、服役时间属性。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CostInComeDocPO包含总收入、总支出、总利润属性。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DriverPO包含驾驶员工号、姓名、出生日期、身份证号、手机号码、性别、行驶证期限属性。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GatheringDocPO包含收款日期、收款金额、快递员姓名、收款项（快递编号）属性。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HistoryPO包含出发地、目的地、运输时间属性。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InstitutionPO包含所在城市、本机构类型、机构名称属性。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包含入库单单号、快递编号列表属性。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OutRecord包含出库的快递编号、出库日期、目的地、运输方式属性。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hint="eastAsia" w:ascii="Consolas" w:hAnsi="Consolas" w:cs="Consolas"/>
          <w:color w:val="000000"/>
          <w:kern w:val="0"/>
          <w:sz w:val="20"/>
        </w:rPr>
        <w:t>包含出库单编号、出库的快递编号列表。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hint="eastAsia" w:ascii="Consolas" w:hAnsi="Consolas" w:cs="Consolas"/>
          <w:color w:val="000000"/>
          <w:kern w:val="0"/>
          <w:sz w:val="20"/>
        </w:rPr>
        <w:t>包含收件单编号、对应的快递编号、收件人姓名、收件日期。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PayDocPO包含付款单编号、付款日期、付款金额、付款人、付款账号、付款方式、备注。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PositionPO包含快递编号、历史轨迹。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hint="eastAsia" w:ascii="Consolas" w:hAnsi="Consolas" w:cs="Consolas"/>
          <w:color w:val="000000"/>
          <w:kern w:val="0"/>
          <w:sz w:val="20"/>
        </w:rPr>
        <w:t>包含快递编号、入库日期、目的地、所在分区、排号、架号、位号。</w:t>
      </w:r>
    </w:p>
    <w:p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SendDocPO包含寄件人姓名、寄件人地址、寄件人电话、寄件人手机、收件人姓名、收件人地址、收件人电话、收件人手机、快递重量、体积、内件品名、尺寸、包装类型、费用合计、快递编号、快递类型。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>
      <w:pPr>
        <w:rPr>
          <w:rFonts w:hint="eastAsia" w:ascii="Consolas" w:hAnsi="Consolas" w:cs="Consolas"/>
          <w:color w:val="000000"/>
          <w:kern w:val="0"/>
          <w:sz w:val="20"/>
        </w:rPr>
      </w:pPr>
      <w:r>
        <w:rPr>
          <w:rFonts w:hint="eastAsia" w:ascii="Consolas" w:hAnsi="Consolas" w:cs="Consolas"/>
          <w:color w:val="000000"/>
          <w:kern w:val="0"/>
          <w:sz w:val="20"/>
        </w:rPr>
        <w:t>StaffPO包含工号、姓名、所在机构、职位。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985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pict>
        <v:shape id="文本框 2" o:spid="_x0000_s2049" o:spt="202" type="#_x0000_t202" style="position:absolute;left:0pt;margin-top:0pt;height:144pt;width:144pt;mso-position-horizontal:left;mso-position-horizontal-relative:margin;mso-wrap-style:none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double" w:color="auto" w:sz="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30679">
    <w:nsid w:val="56278597"/>
    <w:multiLevelType w:val="multilevel"/>
    <w:tmpl w:val="5627859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14454306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470FF"/>
    <w:rsid w:val="000A70F9"/>
    <w:rsid w:val="000C0BAC"/>
    <w:rsid w:val="000E2601"/>
    <w:rsid w:val="000E35E8"/>
    <w:rsid w:val="000F181A"/>
    <w:rsid w:val="001163FC"/>
    <w:rsid w:val="00184ECB"/>
    <w:rsid w:val="00190C5F"/>
    <w:rsid w:val="001B2F52"/>
    <w:rsid w:val="001C6CAA"/>
    <w:rsid w:val="001D0F40"/>
    <w:rsid w:val="001F0799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2FF74E9F"/>
    <w:rsid w:val="345D7E4B"/>
    <w:rsid w:val="3B536163"/>
    <w:rsid w:val="45054C98"/>
    <w:rsid w:val="48017B44"/>
    <w:rsid w:val="4DA71FF5"/>
    <w:rsid w:val="4EEA27F6"/>
    <w:rsid w:val="67613609"/>
    <w:rsid w:val="6AE01AE3"/>
    <w:rsid w:val="70E467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ind w:left="100" w:leftChars="10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ind w:left="200" w:leftChars="200"/>
      <w:outlineLvl w:val="2"/>
    </w:pPr>
    <w:rPr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22">
    <w:name w:val="标题 Char"/>
    <w:basedOn w:val="18"/>
    <w:link w:val="17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23">
    <w:name w:val="副标题 Char"/>
    <w:basedOn w:val="18"/>
    <w:link w:val="13"/>
    <w:qFormat/>
    <w:uiPriority w:val="11"/>
    <w:rPr>
      <w:rFonts w:ascii="Cambria" w:hAnsi="Cambria" w:cs="黑体"/>
      <w:b/>
      <w:bCs/>
      <w:kern w:val="28"/>
      <w:sz w:val="32"/>
      <w:szCs w:val="32"/>
    </w:rPr>
  </w:style>
  <w:style w:type="table" w:customStyle="1" w:styleId="24">
    <w:name w:val="清单表 3 - 着色 11"/>
    <w:basedOn w:val="19"/>
    <w:qFormat/>
    <w:uiPriority w:val="48"/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>
        <w:tblLayout w:type="fixed"/>
      </w:tblPr>
      <w:tcPr>
        <w:tcBorders>
          <w:top w:val="nil"/>
          <w:left w:val="single" w:color="4F81BD" w:sz="4" w:space="0"/>
          <w:bottom w:val="nil"/>
          <w:right w:val="single" w:color="4F81BD" w:sz="4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4F81BD" w:sz="4" w:space="0"/>
          <w:left w:val="nil"/>
          <w:bottom w:val="single" w:color="4F81BD" w:sz="4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">
    <w:name w:val="网格表 4 - 着色 11"/>
    <w:basedOn w:val="19"/>
    <w:qFormat/>
    <w:uiPriority w:val="49"/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3574</Words>
  <Characters>20374</Characters>
  <Lines>169</Lines>
  <Paragraphs>47</Paragraphs>
  <ScaleCrop>false</ScaleCrop>
  <LinksUpToDate>false</LinksUpToDate>
  <CharactersWithSpaces>23901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2015-10-21T12:06:00Z</dcterms:created>
  <dc:creator>lin</dc:creator>
  <cp:lastModifiedBy>lin</cp:lastModifiedBy>
  <dcterms:modified xsi:type="dcterms:W3CDTF">2016-01-04T03:02:04Z</dcterms:modified>
  <dc:title>物流管理与服务系统（CMASS）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