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1" o:spid="_x0000_s1027" type="#_x0000_t75" style="height:368.25pt;width:291pt;rotation:0f;" o:ole="f" fillcolor="#FFFFFF" filled="f" o:preferrelative="t" stroked="f" coordorigin="0,0" coordsize="21600,21600">
            <v:fill on="f" color2="#FFFFFF" focus="0%"/>
            <v:imagedata gain="65536f" blacklevel="0f" gamma="0" o:title="南京大学LOGO HD 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_Toc3705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 引言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_Toc15145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编制目的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_Toc13792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词汇表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_Toc13792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_Toc32090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参考资料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_Toc4671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_Toc6917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逻辑视角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_Toc6917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_Toc19972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组合视角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_Toc19972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_Toc8709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开发包图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_Toc8246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运行时进程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_Toc8246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_Toc13173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物理部署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_Toc6898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 接口视角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_Toc6898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_Toc24773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_Toc24773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_Toc15005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用户界面层的分解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_Toc15005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_Toc2705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5.2.1 用户界面层模块的职责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_Toc9197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5.2.2 用户界面层模块的接口规范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_Toc9197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_Toc5916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5.2.3 用户界面模块设计原理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_Toc12027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业务逻辑层的分解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_Toc17808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5.3.1 业务逻辑层模块的职责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_Toc17808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_Toc4074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5.3.2 业务逻辑层模块的接口规范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_Toc4074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_Toc19585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数据层的分解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_Toc19585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_Toc12794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5.4.1 数据层模块的职责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_Toc12794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_Toc9539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5.4.2 数据层模块的接口规范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_Toc9539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_Toc16380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 信息视角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_Toc16380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_Toc13062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数据持久化对象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_Toc13062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4F81BD"/>
            <w:vAlign w:val="top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4F81BD"/>
            <w:vAlign w:val="top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4F81BD"/>
            <w:vAlign w:val="top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  <w:vAlign w:val="top"/>
          </w:tcPr>
          <w:p/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  <w:vAlign w:val="top"/>
          </w:tcPr>
          <w:p/>
        </w:tc>
      </w:tr>
    </w:tbl>
    <w:p/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330.1pt;width:202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图1   参照体系结构风格的包图表达逻辑视角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9" type="#_x0000_t75" style="height:305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/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表1  </w:t>
      </w:r>
      <w:r>
        <w:rPr>
          <w:rFonts w:hint="eastAsia"/>
          <w:b/>
        </w:rPr>
        <w:t>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mainui</w:t>
            </w:r>
          </w:p>
        </w:tc>
        <w:tc>
          <w:tcPr>
            <w:tcW w:w="6005" w:type="dxa"/>
            <w:vAlign w:val="top"/>
          </w:tcPr>
          <w:p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storageui</w:t>
            </w:r>
          </w:p>
        </w:tc>
        <w:tc>
          <w:tcPr>
            <w:tcW w:w="6005" w:type="dxa"/>
            <w:vAlign w:val="top"/>
          </w:tcPr>
          <w:p>
            <w:r>
              <w:t>Storageblservice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</w:p>
        </w:tc>
        <w:tc>
          <w:tcPr>
            <w:tcW w:w="6005" w:type="dxa"/>
            <w:vAlign w:val="top"/>
          </w:tcPr>
          <w:p>
            <w:r>
              <w:t>storagedataservice</w:t>
            </w:r>
          </w:p>
          <w:p>
            <w:r>
              <w:t>transferbl</w:t>
            </w:r>
          </w:p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Logisticsqueryui</w:t>
            </w:r>
          </w:p>
        </w:tc>
        <w:tc>
          <w:tcPr>
            <w:tcW w:w="6005" w:type="dxa"/>
            <w:vAlign w:val="top"/>
          </w:tcPr>
          <w:p>
            <w:r>
              <w:t>Logisticsqueryblservice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</w:p>
        </w:tc>
        <w:tc>
          <w:tcPr>
            <w:tcW w:w="6005" w:type="dxa"/>
            <w:vAlign w:val="top"/>
          </w:tcPr>
          <w:p>
            <w:r>
              <w:t>logisticsquerydataservice</w:t>
            </w:r>
          </w:p>
          <w:p>
            <w:r>
              <w:t>transferbl</w:t>
            </w:r>
          </w:p>
          <w:p>
            <w:r>
              <w:t>collectionbl</w:t>
            </w:r>
          </w:p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Collectionui</w:t>
            </w:r>
          </w:p>
        </w:tc>
        <w:tc>
          <w:tcPr>
            <w:tcW w:w="6005" w:type="dxa"/>
            <w:vAlign w:val="top"/>
          </w:tcPr>
          <w:p>
            <w:r>
              <w:t>Collectionblservice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</w:t>
            </w:r>
          </w:p>
        </w:tc>
        <w:tc>
          <w:tcPr>
            <w:tcW w:w="6005" w:type="dxa"/>
            <w:vAlign w:val="top"/>
          </w:tcPr>
          <w:p>
            <w:r>
              <w:t>Collectiondataservice</w:t>
            </w:r>
          </w:p>
          <w:p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Transferui</w:t>
            </w:r>
          </w:p>
        </w:tc>
        <w:tc>
          <w:tcPr>
            <w:tcW w:w="6005" w:type="dxa"/>
            <w:vAlign w:val="top"/>
          </w:tcPr>
          <w:p>
            <w:r>
              <w:t>Transferblservice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</w:t>
            </w:r>
          </w:p>
        </w:tc>
        <w:tc>
          <w:tcPr>
            <w:tcW w:w="6005" w:type="dxa"/>
            <w:vAlign w:val="top"/>
          </w:tcPr>
          <w:p>
            <w:r>
              <w:t>Transferdataservice</w:t>
            </w:r>
          </w:p>
          <w:p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Infoblservice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infobl</w:t>
            </w:r>
          </w:p>
        </w:tc>
        <w:tc>
          <w:tcPr>
            <w:tcW w:w="6005" w:type="dxa"/>
            <w:vAlign w:val="top"/>
          </w:tcPr>
          <w:p>
            <w:r>
              <w:t>Infodataservice</w:t>
            </w:r>
          </w:p>
          <w:p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financeblservice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</w:t>
            </w:r>
          </w:p>
        </w:tc>
        <w:tc>
          <w:tcPr>
            <w:tcW w:w="6005" w:type="dxa"/>
            <w:vAlign w:val="top"/>
          </w:tcPr>
          <w:p>
            <w:r>
              <w:t>financedataservice</w:t>
            </w:r>
          </w:p>
          <w:p>
            <w:r>
              <w:t>collectionbl</w:t>
            </w:r>
          </w:p>
          <w:p>
            <w:r>
              <w:t>infobl,</w:t>
            </w:r>
          </w:p>
          <w:p>
            <w:r>
              <w:t>transferbl</w:t>
            </w:r>
          </w:p>
          <w:p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Systemblservice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</w:t>
            </w:r>
          </w:p>
        </w:tc>
        <w:tc>
          <w:tcPr>
            <w:tcW w:w="6005" w:type="dxa"/>
            <w:vAlign w:val="top"/>
          </w:tcPr>
          <w:p>
            <w:r>
              <w:t>systemdataservice</w:t>
            </w:r>
          </w:p>
          <w:p>
            <w:r>
              <w:t>infobl</w:t>
            </w:r>
          </w:p>
          <w:p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Approveui</w:t>
            </w:r>
          </w:p>
        </w:tc>
        <w:tc>
          <w:tcPr>
            <w:tcW w:w="6005" w:type="dxa"/>
            <w:vAlign w:val="top"/>
          </w:tcPr>
          <w:p>
            <w:r>
              <w:t>Approvebl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</w:t>
            </w:r>
          </w:p>
        </w:tc>
        <w:tc>
          <w:tcPr>
            <w:tcW w:w="6005" w:type="dxa"/>
            <w:vAlign w:val="top"/>
          </w:tcPr>
          <w:p>
            <w:r>
              <w:t>Approvedata</w:t>
            </w:r>
          </w:p>
          <w:p>
            <w:r>
              <w:t>storagebl</w:t>
            </w:r>
          </w:p>
          <w:p>
            <w:r>
              <w:t>collectionbl</w:t>
            </w:r>
          </w:p>
          <w:p>
            <w:r>
              <w:t>transferbl</w:t>
            </w:r>
          </w:p>
          <w:p>
            <w:r>
              <w:t>financebl</w:t>
            </w:r>
          </w:p>
          <w:p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approvedataservice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VO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30" type="#_x0000_t75" style="height:413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1" type="#_x0000_t75" style="height:230.95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2" type="#_x0000_t75" style="height:190.2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3" type="#_x0000_t75" style="height:330.1pt;width:36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4" type="#_x0000_t75" style="height:195.6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 xml:space="preserve"> 客户端各层的职责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 服务器端各层的职责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利用Java RMI机制开启RMI服务，注册RMI服务</w:t>
            </w:r>
          </w:p>
        </w:tc>
      </w:tr>
    </w:tbl>
    <w:p/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>
        <w:rPr>
          <w:rFonts w:hint="eastAsia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35" type="#_x0000_t75" style="height:277.95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6" type="#_x0000_t75" style="height:249.3pt;width:42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图10 用户界面跳转</w:t>
      </w:r>
    </w:p>
    <w:p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r>
        <w:rPr>
          <w:rFonts w:hint="eastAsia"/>
        </w:rPr>
        <w:t>用户界面利用</w:t>
      </w:r>
      <w:r>
        <w:t>Java的Swing和AWT库来实现。</w:t>
      </w:r>
    </w:p>
    <w:p>
      <w:pPr>
        <w:rPr>
          <w:rFonts w:hint="eastAsia"/>
        </w:rPr>
      </w:pPr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7" type="#_x0000_t75" style="height:239.1pt;width:4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rFonts w:hint="eastAsia"/>
        </w:rPr>
      </w:pPr>
    </w:p>
    <w:p>
      <w:pPr>
        <w:pStyle w:val="4"/>
        <w:ind w:left="420"/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pPr w:leftFromText="180" w:rightFromText="180" w:vertAnchor="page" w:horzAnchor="margin" w:tblpXSpec="left" w:tblpY="8003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  <w:vAlign w:val="top"/>
          </w:tcPr>
          <w:p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pStyle w:val="4"/>
        <w:ind w:left="420"/>
        <w:rPr>
          <w:rFonts w:hint="eastAsia"/>
        </w:rPr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Collectionbl.getCourierMoney(Courier courier)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  <w:vAlign w:val="top"/>
          </w:tcPr>
          <w:p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</w:tbl>
    <w:p/>
    <w:p/>
    <w:p/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gridSpan w:val="2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Align w:val="top"/>
          </w:tcPr>
          <w:p/>
        </w:tc>
        <w:tc>
          <w:tcPr>
            <w:tcW w:w="3868" w:type="dxa"/>
            <w:gridSpan w:val="2"/>
            <w:vAlign w:val="top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  <w:vAlign w:val="top"/>
          </w:tcPr>
          <w:p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  <w:vAlign w:val="top"/>
          </w:tcPr>
          <w:p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rFonts w:hint="eastAsia"/>
          <w:b/>
        </w:rPr>
      </w:pP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  <w:vAlign w:val="top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  <w:vAlign w:val="top"/>
          </w:tcPr>
          <w:p/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  <w:vAlign w:val="top"/>
          </w:tcPr>
          <w:p/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  <w:vAlign w:val="top"/>
          </w:tcPr>
          <w:p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XSpec="left" w:tblpY="572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  <w:vAlign w:val="top"/>
          </w:tcPr>
          <w:p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  <w:vAlign w:val="top"/>
          </w:tcPr>
          <w:p/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表14 </w:t>
      </w:r>
      <w:r>
        <w:rPr>
          <w:rFonts w:hint="eastAsia"/>
          <w:b/>
        </w:rPr>
        <w:t>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XSpec="left" w:tblpY="1848"/>
        <w:tblW w:w="8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  <w:vAlign w:val="top"/>
          </w:tcPr>
          <w:p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XSpec="left" w:tblpY="490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/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Transferbl.getZloadDoc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  <w:vAlign w:val="top"/>
          </w:tcPr>
          <w:p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/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  <w:vAlign w:val="top"/>
          </w:tcPr>
          <w:p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Collectionbl.getCourierMoney(Courier courier)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/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38" type="#_x0000_t75" style="height:293.1pt;width:18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>
        <w:rPr>
          <w:rFonts w:hint="eastAsia"/>
        </w:rPr>
      </w:pPr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17</w:t>
      </w:r>
      <w:r>
        <w:rPr>
          <w:rFonts w:hint="eastAsia"/>
          <w:b/>
        </w:rPr>
        <w:t xml:space="preserve"> 数据层模块的职责</w:t>
      </w:r>
    </w:p>
    <w:tbl>
      <w:tblPr>
        <w:tblStyle w:val="20"/>
        <w:tblpPr w:leftFromText="180" w:rightFromText="180" w:vertAnchor="text" w:horzAnchor="margin" w:tblpXSpec="left" w:tblpY="7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  <w:vAlign w:val="top"/>
          </w:tcPr>
          <w:p>
            <w:r>
              <w:t>StorageDataService.find(int  StorageItemID)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Align w:val="top"/>
          </w:tcPr>
          <w:p/>
        </w:tc>
        <w:tc>
          <w:tcPr>
            <w:tcW w:w="125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  <w:vAlign w:val="top"/>
          </w:tcPr>
          <w:p>
            <w:r>
              <w:rPr>
                <w:rFonts w:hint="eastAsia"/>
              </w:rPr>
              <w:t>得到待审批入库单，返回一个POlist</w:t>
            </w:r>
          </w:p>
        </w:tc>
      </w:tr>
    </w:tbl>
    <w:p/>
    <w:p>
      <w:pPr>
        <w:jc w:val="center"/>
      </w:pPr>
      <w:r>
        <w:rPr>
          <w:rFonts w:hint="eastAsia"/>
          <w:b/>
          <w:lang w:val="en-US" w:eastAsia="zh-CN"/>
        </w:rPr>
        <w:t xml:space="preserve">表19 </w:t>
      </w: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dataservice.findCar</w:t>
            </w:r>
          </w:p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vAlign w:val="top"/>
          </w:tcPr>
          <w:p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top"/>
          </w:tcPr>
          <w:p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表20 </w:t>
      </w:r>
      <w:r>
        <w:rPr>
          <w:rFonts w:hint="eastAsia"/>
          <w:b/>
        </w:rPr>
        <w:t>Systemdataservice的</w:t>
      </w:r>
      <w:r>
        <w:rPr>
          <w:b/>
        </w:rPr>
        <w:t>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top"/>
          </w:tcPr>
          <w:p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  <w:vAlign w:val="top"/>
          </w:tcPr>
          <w:p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  <w:vAlign w:val="top"/>
          </w:tcPr>
          <w:p/>
        </w:tc>
        <w:tc>
          <w:tcPr>
            <w:tcW w:w="132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  <w:vAlign w:val="top"/>
          </w:tcPr>
          <w:p>
            <w:r>
              <w:rPr>
                <w:rFonts w:hint="eastAsia"/>
              </w:rPr>
              <w:t>得到期间收款单列表（PO）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表22 </w:t>
      </w: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/>
    <w:p/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 xml:space="preserve">表23 </w:t>
      </w:r>
      <w:r>
        <w:rPr>
          <w:rFonts w:hint="eastAsia"/>
          <w:b/>
        </w:rPr>
        <w:t>TransferDataService的接口规范</w:t>
      </w:r>
    </w:p>
    <w:tbl>
      <w:tblPr>
        <w:tblStyle w:val="20"/>
        <w:tblW w:w="8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  <w:vAlign w:val="top"/>
          </w:tcPr>
          <w:p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  <w:vAlign w:val="top"/>
          </w:tcPr>
          <w:p/>
        </w:tc>
        <w:tc>
          <w:tcPr>
            <w:tcW w:w="1740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  <w:vAlign w:val="top"/>
          </w:tcPr>
          <w:p>
            <w:r>
              <w:rPr>
                <w:rFonts w:hint="eastAsia"/>
              </w:rPr>
              <w:t>得到待审批中转中心装车单</w:t>
            </w:r>
          </w:p>
        </w:tc>
      </w:tr>
    </w:tbl>
    <w:p/>
    <w:p/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r>
        <w:rPr>
          <w:rFonts w:hint="eastAsia"/>
        </w:rPr>
        <w:t>系统的PO类就是对应的相关的实体类，在此只做简单的介绍。</w:t>
      </w:r>
    </w:p>
    <w:p>
      <w:pPr>
        <w:rPr>
          <w:rFonts w:hint="eastAsia"/>
        </w:rPr>
      </w:pPr>
      <w:r>
        <w:rPr>
          <w:rFonts w:hint="eastAsia"/>
        </w:rPr>
        <w:t>AccountPO</w:t>
      </w:r>
      <w:r>
        <w:rPr>
          <w:rFonts w:hint="eastAsia"/>
        </w:rPr>
        <w:t>类就是银行账户，包含账户名称、账户余额属性。</w:t>
      </w:r>
    </w:p>
    <w:p>
      <w:pPr>
        <w:rPr>
          <w:rFonts w:hint="eastAsia"/>
        </w:rPr>
      </w:pPr>
      <w:r>
        <w:rPr>
          <w:rFonts w:hint="eastAsia"/>
        </w:rPr>
        <w:t>BusinessHallPO包含所在城市、本机构类型、机构名称属性。</w:t>
      </w:r>
    </w:p>
    <w:p>
      <w:pPr>
        <w:rPr>
          <w:rFonts w:hint="eastAsia"/>
        </w:rPr>
      </w:pPr>
      <w:r>
        <w:rPr>
          <w:rFonts w:hint="eastAsia"/>
        </w:rPr>
        <w:t>CarPO包含汽车编号、车牌号、服役时间属性。</w:t>
      </w:r>
    </w:p>
    <w:p>
      <w:pPr>
        <w:rPr>
          <w:rFonts w:hint="eastAsia"/>
        </w:rPr>
      </w:pPr>
      <w:r>
        <w:rPr>
          <w:rFonts w:hint="eastAsia"/>
        </w:rPr>
        <w:t>CostInComeDocPO包含总收入、总支出、总利润属性。</w:t>
      </w:r>
    </w:p>
    <w:p>
      <w:pPr>
        <w:rPr>
          <w:rFonts w:hint="eastAsia"/>
        </w:rPr>
      </w:pPr>
      <w:r>
        <w:rPr>
          <w:rFonts w:hint="eastAsia"/>
        </w:rPr>
        <w:t>DriverPO包含驾驶员工号、姓名、出生日期、身份证号、手机号码、性别、行驶证期限属性。</w:t>
      </w:r>
    </w:p>
    <w:p>
      <w:pPr>
        <w:rPr>
          <w:rFonts w:hint="eastAsia"/>
        </w:rPr>
      </w:pPr>
      <w:r>
        <w:rPr>
          <w:rFonts w:hint="eastAsia"/>
        </w:rPr>
        <w:t>GatheringDocPO包含收款日期、收款金额、快递员姓名、收款项（快递编号）属性。</w:t>
      </w:r>
    </w:p>
    <w:p>
      <w:pPr>
        <w:rPr>
          <w:rFonts w:hint="eastAsia"/>
        </w:rPr>
      </w:pPr>
      <w:r>
        <w:rPr>
          <w:rFonts w:hint="eastAsia"/>
        </w:rPr>
        <w:t>HistoryPO包含出发地、目的地、运输时间属性。</w:t>
      </w:r>
    </w:p>
    <w:p>
      <w:r>
        <w:rPr>
          <w:rFonts w:hint="eastAsia"/>
        </w:rPr>
        <w:t>InstitutionPO包含所在城市、本机构类型、机构名称属性。</w:t>
      </w:r>
      <w:bookmarkStart w:id="24" w:name="_GoBack"/>
      <w:bookmarkEnd w:id="24"/>
    </w:p>
    <w:sectPr>
      <w:headerReference r:id="rId4" w:type="default"/>
      <w:footerReference r:id="rId5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2" o:spid="_x0000_s1025" type="#_x0000_t202" style="position:absolute;left:0;margin-top:0pt;height:144pt;width:144pt;mso-position-horizontal:lef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313F95"/>
    <w:rsid w:val="00327F0C"/>
    <w:rsid w:val="00340E5C"/>
    <w:rsid w:val="00391979"/>
    <w:rsid w:val="00414B4C"/>
    <w:rsid w:val="0043303D"/>
    <w:rsid w:val="00474876"/>
    <w:rsid w:val="00506AA6"/>
    <w:rsid w:val="00540ADE"/>
    <w:rsid w:val="0056254C"/>
    <w:rsid w:val="005A6E13"/>
    <w:rsid w:val="005C1917"/>
    <w:rsid w:val="005C5F98"/>
    <w:rsid w:val="00693870"/>
    <w:rsid w:val="006A2387"/>
    <w:rsid w:val="006A4EDC"/>
    <w:rsid w:val="006A5474"/>
    <w:rsid w:val="006C32A1"/>
    <w:rsid w:val="00715193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48017B44"/>
    <w:rsid w:val="4EEA27F6"/>
    <w:rsid w:val="6AE01AE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uiPriority w:val="9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List Table 3 Accent 1"/>
    <w:basedOn w:val="19"/>
    <w:uiPriority w:val="48"/>
    <w:pPr/>
    <w:tblPr>
      <w:tblStyle w:val="19"/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Style w:val="19"/>
        <w:tblLayout w:type="fixed"/>
      </w:tblPr>
      <w:tcPr>
        <w:shd w:val="clear" w:color="auto" w:fill="4F81BD"/>
        <w:textDirection w:val="lrTb"/>
      </w:tcPr>
    </w:tblStylePr>
    <w:tblStylePr w:type="lastRow">
      <w:rPr>
        <w:b/>
        <w:bCs/>
      </w:rPr>
      <w:tblPr>
        <w:tblStyle w:val="19"/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Style w:val="1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Style w:val="1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Style w:val="19"/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9"/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eCell">
      <w:tblPr>
        <w:tblStyle w:val="1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1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eCell">
      <w:tblPr>
        <w:tblStyle w:val="19"/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tblPr>
        <w:tblStyle w:val="19"/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25">
    <w:name w:val="Grid Table 4 Accent 1"/>
    <w:basedOn w:val="19"/>
    <w:uiPriority w:val="49"/>
    <w:pPr/>
    <w:tblPr>
      <w:tblStyle w:val="19"/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Style w:val="19"/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Style w:val="19"/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9"/>
        <w:tblLayout w:type="fixed"/>
      </w:tblPr>
      <w:tcPr>
        <w:textDirection w:val="lrTb"/>
      </w:tcPr>
    </w:tblStylePr>
    <w:tblStylePr w:type="band1Vert">
      <w:tblPr>
        <w:tblStyle w:val="19"/>
        <w:tblLayout w:type="fixed"/>
      </w:tblPr>
      <w:tcPr>
        <w:shd w:val="clear" w:color="auto" w:fill="DBE5F1"/>
        <w:textDirection w:val="lrTb"/>
      </w:tcPr>
    </w:tblStylePr>
    <w:tblStylePr w:type="band1Horz">
      <w:tblPr>
        <w:tblStyle w:val="19"/>
        <w:tblLayout w:type="fixed"/>
      </w:tblPr>
      <w:tcPr>
        <w:shd w:val="clear" w:color="auto" w:fill="DBE5F1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3533</Words>
  <Characters>20140</Characters>
  <Lines>167</Lines>
  <Paragraphs>47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cp:lastModifiedBy>lin</cp:lastModifiedBy>
  <dcterms:modified xsi:type="dcterms:W3CDTF">2015-10-26T14:22:30Z</dcterms:modified>
  <dc:title>物流管理与服务系统（CMASS）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