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1" o:spid="_x0000_s1027" type="#_x0000_t75" style="height:368.25pt;width:291pt;rotation:0f;" o:ole="f" fillcolor="#FFFFFF" filled="f" o:preferrelative="t" stroked="f" coordorigin="0,0" coordsize="21600,21600">
            <v:fill on="f" color2="#FFFFFF" focus="0%"/>
            <v:imagedata gain="65536f" blacklevel="0f" gamma="0" o:title="南京大学LOGO HD 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_Toc23444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 引言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_Toc23444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_Toc16503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编制目的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_Toc10496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词汇表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_Toc16443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参考资料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_Toc16443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_Toc1205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_Toc25274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逻辑视角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_Toc25274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_Toc10369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组合视角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_Toc10369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_Toc20757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开发包图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_Toc20757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_Toc23887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运行时进程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_Toc23887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_Toc2996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物理部署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_Toc6268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 接口视角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_Toc13996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_Toc10552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用户界面层的分解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_Toc23090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5.2.1 用户界面层模块的职责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_Toc23090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_Toc7577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5.2.2 用户界面层模块的接口规范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_Toc7577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_Toc16340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5.2.3 用户界面模块设计原理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_Toc16340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_Toc1408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业务逻辑层的分解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_Toc6737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5.3.1 业务逻辑层模块的职责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_Toc6737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_Toc10637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5.3.2 业务逻辑层模块的接口规范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_Toc10637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_Toc21823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数据层的分解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_Toc16040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5.4.1 数据层模块的职责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_Toc4838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5.4.2 数据层模块的接口规范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_Toc8943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 信息视角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_Toc8943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_Toc20987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数据持久化对象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_Toc20987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_Toc22287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Txt持久化格式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23444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6503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0496"/>
      <w:r>
        <w:rPr>
          <w:rFonts w:hint="eastAsia"/>
        </w:rPr>
        <w:t>1.2 词汇表</w:t>
      </w:r>
      <w:bookmarkEnd w:id="2"/>
    </w:p>
    <w:p>
      <w:pPr>
        <w:pStyle w:val="3"/>
        <w:ind w:left="210"/>
      </w:pPr>
      <w:bookmarkStart w:id="3" w:name="_Toc16443"/>
      <w:r>
        <w:rPr>
          <w:rFonts w:hint="eastAsia"/>
        </w:rPr>
        <w:t>1.3 参考资料</w:t>
      </w:r>
      <w:bookmarkEnd w:id="3"/>
    </w:p>
    <w:p>
      <w:pPr>
        <w:pStyle w:val="2"/>
        <w:numPr>
          <w:ilvl w:val="0"/>
          <w:numId w:val="1"/>
        </w:numPr>
      </w:pPr>
      <w:bookmarkStart w:id="4" w:name="_Toc1205"/>
      <w:r>
        <w:rPr>
          <w:rFonts w:hint="eastAsia"/>
        </w:rPr>
        <w:t>产品概述</w:t>
      </w:r>
      <w:bookmarkEnd w:id="4"/>
    </w:p>
    <w:p>
      <w:pPr>
        <w:pStyle w:val="2"/>
        <w:numPr>
          <w:ilvl w:val="0"/>
          <w:numId w:val="1"/>
        </w:numPr>
      </w:pPr>
      <w:bookmarkStart w:id="5" w:name="_Toc25274"/>
      <w:r>
        <w:rPr>
          <w:rFonts w:hint="eastAsia"/>
        </w:rPr>
        <w:t>逻辑视角</w:t>
      </w:r>
      <w:bookmarkEnd w:id="5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8" type="#_x0000_t75" style="height:305.15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软件体系结构逻辑设计方案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6" w:name="_Toc10369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20757"/>
      <w:r>
        <w:rPr>
          <w:rFonts w:hint="eastAsia"/>
        </w:rPr>
        <w:t>开发包图</w:t>
      </w:r>
      <w:bookmarkEnd w:id="7"/>
    </w:p>
    <w:p>
      <w:pPr>
        <w:rPr>
          <w:rFonts w:hint="eastAsia"/>
        </w:rPr>
      </w:pPr>
      <w:r>
        <w:rPr>
          <w:rFonts w:hint="eastAsia"/>
        </w:rPr>
        <w:t xml:space="preserve"> 快递系统的最终开发包图如表1所示：</w:t>
      </w:r>
    </w:p>
    <w:tbl>
      <w:tblPr>
        <w:tblStyle w:val="18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mainui</w:t>
            </w:r>
          </w:p>
        </w:tc>
        <w:tc>
          <w:tcPr>
            <w:tcW w:w="6005" w:type="dxa"/>
            <w:vAlign w:val="top"/>
          </w:tcPr>
          <w:p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storageui</w:t>
            </w:r>
          </w:p>
        </w:tc>
        <w:tc>
          <w:tcPr>
            <w:tcW w:w="6005" w:type="dxa"/>
            <w:vAlign w:val="top"/>
          </w:tcPr>
          <w:p>
            <w:r>
              <w:t>Storageblservice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</w:p>
        </w:tc>
        <w:tc>
          <w:tcPr>
            <w:tcW w:w="6005" w:type="dxa"/>
            <w:vAlign w:val="top"/>
          </w:tcPr>
          <w:p>
            <w:r>
              <w:t>storagedataservice</w:t>
            </w:r>
          </w:p>
          <w:p>
            <w:r>
              <w:t>transferbl</w:t>
            </w:r>
          </w:p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Logisticsqueryui</w:t>
            </w:r>
          </w:p>
        </w:tc>
        <w:tc>
          <w:tcPr>
            <w:tcW w:w="6005" w:type="dxa"/>
            <w:vAlign w:val="top"/>
          </w:tcPr>
          <w:p>
            <w:r>
              <w:t>Logisticsqueryblservice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</w:p>
        </w:tc>
        <w:tc>
          <w:tcPr>
            <w:tcW w:w="6005" w:type="dxa"/>
            <w:vAlign w:val="top"/>
          </w:tcPr>
          <w:p>
            <w:r>
              <w:t>logisticsquerydataservice</w:t>
            </w:r>
          </w:p>
          <w:p>
            <w:r>
              <w:t>transferbl</w:t>
            </w:r>
          </w:p>
          <w:p>
            <w:r>
              <w:t>collectionbl</w:t>
            </w:r>
          </w:p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Collectionui</w:t>
            </w:r>
          </w:p>
        </w:tc>
        <w:tc>
          <w:tcPr>
            <w:tcW w:w="6005" w:type="dxa"/>
            <w:vAlign w:val="top"/>
          </w:tcPr>
          <w:p>
            <w:r>
              <w:t>Collectionblservice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</w:t>
            </w:r>
          </w:p>
        </w:tc>
        <w:tc>
          <w:tcPr>
            <w:tcW w:w="6005" w:type="dxa"/>
            <w:vAlign w:val="top"/>
          </w:tcPr>
          <w:p>
            <w:r>
              <w:t>Collectiondataservice</w:t>
            </w:r>
          </w:p>
          <w:p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Transferui</w:t>
            </w:r>
          </w:p>
        </w:tc>
        <w:tc>
          <w:tcPr>
            <w:tcW w:w="6005" w:type="dxa"/>
            <w:vAlign w:val="top"/>
          </w:tcPr>
          <w:p>
            <w:r>
              <w:t>Transferblservice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</w:t>
            </w:r>
          </w:p>
        </w:tc>
        <w:tc>
          <w:tcPr>
            <w:tcW w:w="6005" w:type="dxa"/>
            <w:vAlign w:val="top"/>
          </w:tcPr>
          <w:p>
            <w:r>
              <w:t>Transferdataservice</w:t>
            </w:r>
          </w:p>
          <w:p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Infoblservice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infobl</w:t>
            </w:r>
          </w:p>
        </w:tc>
        <w:tc>
          <w:tcPr>
            <w:tcW w:w="6005" w:type="dxa"/>
            <w:vAlign w:val="top"/>
          </w:tcPr>
          <w:p>
            <w:r>
              <w:t>Infodataservice</w:t>
            </w:r>
          </w:p>
          <w:p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financeblservice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</w:t>
            </w:r>
          </w:p>
        </w:tc>
        <w:tc>
          <w:tcPr>
            <w:tcW w:w="6005" w:type="dxa"/>
            <w:vAlign w:val="top"/>
          </w:tcPr>
          <w:p>
            <w:r>
              <w:t>financedataservice</w:t>
            </w:r>
          </w:p>
          <w:p>
            <w:r>
              <w:t>collectionbl</w:t>
            </w:r>
          </w:p>
          <w:p>
            <w:r>
              <w:t>infobl,</w:t>
            </w:r>
          </w:p>
          <w:p>
            <w:r>
              <w:t>transferbl</w:t>
            </w:r>
          </w:p>
          <w:p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Systemblservice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</w:t>
            </w:r>
          </w:p>
        </w:tc>
        <w:tc>
          <w:tcPr>
            <w:tcW w:w="6005" w:type="dxa"/>
            <w:vAlign w:val="top"/>
          </w:tcPr>
          <w:p>
            <w:r>
              <w:t>systemdataservice</w:t>
            </w:r>
          </w:p>
          <w:p>
            <w:r>
              <w:t>infobl</w:t>
            </w:r>
          </w:p>
          <w:p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Approveui</w:t>
            </w:r>
          </w:p>
        </w:tc>
        <w:tc>
          <w:tcPr>
            <w:tcW w:w="6005" w:type="dxa"/>
            <w:vAlign w:val="top"/>
          </w:tcPr>
          <w:p>
            <w:r>
              <w:t>Approvebl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</w:t>
            </w:r>
          </w:p>
        </w:tc>
        <w:tc>
          <w:tcPr>
            <w:tcW w:w="6005" w:type="dxa"/>
            <w:vAlign w:val="top"/>
          </w:tcPr>
          <w:p>
            <w:r>
              <w:t>Approvedata</w:t>
            </w:r>
          </w:p>
          <w:p>
            <w:r>
              <w:t>storagebl</w:t>
            </w:r>
          </w:p>
          <w:p>
            <w:r>
              <w:t>collectionbl</w:t>
            </w:r>
          </w:p>
          <w:p>
            <w:r>
              <w:t>transferbl</w:t>
            </w:r>
          </w:p>
          <w:p>
            <w:r>
              <w:t>financebl</w:t>
            </w:r>
          </w:p>
          <w:p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VO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IO</w:t>
            </w:r>
          </w:p>
        </w:tc>
      </w:tr>
    </w:tbl>
    <w:p>
      <w:pPr>
        <w:ind w:left="210"/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快递系统最终开发包设计</w:t>
      </w: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413.05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</w:pPr>
      <w:r>
        <w:rPr>
          <w:rFonts w:hint="eastAsia"/>
        </w:rPr>
        <w:t>图  快递系统的客户端开发包图</w:t>
      </w: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231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</w:pPr>
      <w:r>
        <w:rPr>
          <w:rFonts w:hint="eastAsia"/>
        </w:rPr>
        <w:t>图   快递系统的服务器开发包图</w:t>
      </w:r>
    </w:p>
    <w:p>
      <w:pPr>
        <w:ind w:left="210"/>
        <w:rPr>
          <w:rFonts w:hint="eastAsia"/>
        </w:rPr>
      </w:pPr>
    </w:p>
    <w:p>
      <w:pPr>
        <w:pStyle w:val="3"/>
        <w:ind w:left="210"/>
      </w:pPr>
      <w:bookmarkStart w:id="8" w:name="_Toc23887"/>
      <w:r>
        <w:rPr>
          <w:rFonts w:hint="eastAsia"/>
        </w:rPr>
        <w:t>4.1 运行时进程</w:t>
      </w:r>
      <w:bookmarkEnd w:id="8"/>
    </w:p>
    <w:p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1" type="#_x0000_t75" style="height:190.3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图  进程图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ind w:leftChars="0"/>
      </w:pPr>
      <w:bookmarkStart w:id="9" w:name="_Toc2996"/>
      <w:r>
        <w:rPr>
          <w:rFonts w:hint="eastAsia"/>
        </w:rPr>
        <w:t>物理部署</w:t>
      </w:r>
      <w:bookmarkEnd w:id="9"/>
    </w:p>
    <w:p>
      <w:pPr>
        <w:ind w:left="210"/>
      </w:pPr>
      <w:r>
        <w:rPr>
          <w:rFonts w:hint="eastAsia"/>
        </w:rPr>
        <w:t>待填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2" type="#_x0000_t75" style="height:330.1pt;width:36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jc w:val="center"/>
        <w:rPr>
          <w:rFonts w:hint="eastAsia"/>
        </w:rPr>
      </w:pPr>
      <w:r>
        <w:rPr>
          <w:rFonts w:hint="eastAsia"/>
        </w:rPr>
        <w:t>图  部署图</w:t>
      </w:r>
    </w:p>
    <w:p>
      <w:pPr>
        <w:ind w:left="210"/>
      </w:pPr>
    </w:p>
    <w:p>
      <w:pPr>
        <w:ind w:left="210"/>
      </w:pPr>
    </w:p>
    <w:p>
      <w:pPr>
        <w:ind w:left="210"/>
        <w:rPr>
          <w:rFonts w:hint="eastAsia"/>
        </w:rPr>
      </w:pPr>
    </w:p>
    <w:p>
      <w:pPr>
        <w:pStyle w:val="2"/>
      </w:pPr>
      <w:bookmarkStart w:id="10" w:name="_Toc626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13996"/>
      <w:r>
        <w:rPr>
          <w:rFonts w:hint="eastAsia"/>
        </w:rPr>
        <w:t>5.1 模块的职责</w:t>
      </w:r>
      <w:bookmarkEnd w:id="11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3" type="#_x0000_t75" style="height:195.35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 xml:space="preserve">    图     客户端模块视图                             图   服务器模块视图</w:t>
      </w:r>
    </w:p>
    <w:p>
      <w:pPr>
        <w:pStyle w:val="3"/>
        <w:ind w:left="210"/>
      </w:pPr>
      <w:bookmarkStart w:id="12" w:name="_Toc10552"/>
      <w:r>
        <w:rPr>
          <w:rFonts w:hint="eastAsia"/>
        </w:rPr>
        <w:t>5.2 用户界面层的分解</w:t>
      </w:r>
      <w:bookmarkEnd w:id="12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4" type="#_x0000_t75" style="height:249.15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 用户界面跳转</w:t>
      </w:r>
    </w:p>
    <w:p>
      <w:pPr>
        <w:pStyle w:val="4"/>
        <w:ind w:left="420"/>
      </w:pPr>
      <w:bookmarkStart w:id="13" w:name="_Toc23090"/>
      <w:r>
        <w:rPr>
          <w:rFonts w:hint="eastAsia"/>
        </w:rPr>
        <w:t>5.2.1 用户界面层模块的职责</w:t>
      </w:r>
      <w:bookmarkEnd w:id="13"/>
    </w:p>
    <w:p>
      <w:pPr>
        <w:pStyle w:val="4"/>
        <w:ind w:left="420"/>
      </w:pPr>
      <w:bookmarkStart w:id="14" w:name="_Toc7577"/>
      <w:r>
        <w:rPr>
          <w:rFonts w:hint="eastAsia"/>
        </w:rPr>
        <w:t>5.2.2 用户界面层模块的接口规范</w:t>
      </w:r>
      <w:bookmarkEnd w:id="14"/>
    </w:p>
    <w:p>
      <w:pPr>
        <w:pStyle w:val="4"/>
        <w:ind w:left="420"/>
      </w:pPr>
      <w:bookmarkStart w:id="15" w:name="_Toc16340"/>
      <w:r>
        <w:rPr>
          <w:rFonts w:hint="eastAsia"/>
        </w:rPr>
        <w:t>5.2.3 用户界面模块设计原理</w:t>
      </w:r>
      <w:bookmarkEnd w:id="15"/>
    </w:p>
    <w:p>
      <w:pPr>
        <w:pStyle w:val="3"/>
        <w:ind w:left="210"/>
      </w:pPr>
      <w:bookmarkStart w:id="16" w:name="_Toc1408"/>
      <w:r>
        <w:rPr>
          <w:rFonts w:hint="eastAsia"/>
        </w:rPr>
        <w:t>5.3 业务逻辑层的分解</w:t>
      </w:r>
      <w:bookmarkEnd w:id="16"/>
    </w:p>
    <w:p>
      <w:pPr>
        <w:pStyle w:val="4"/>
        <w:ind w:left="420"/>
      </w:pPr>
      <w:bookmarkStart w:id="17" w:name="_Toc6737"/>
      <w:r>
        <w:rPr>
          <w:rFonts w:hint="eastAsia"/>
        </w:rPr>
        <w:t>5.3.1 业务逻辑层模块的职责</w:t>
      </w:r>
      <w:bookmarkEnd w:id="17"/>
    </w:p>
    <w:p>
      <w:pPr>
        <w:pStyle w:val="4"/>
        <w:ind w:left="420"/>
      </w:pPr>
      <w:bookmarkStart w:id="18" w:name="_Toc10637"/>
      <w:r>
        <w:rPr>
          <w:rFonts w:hint="eastAsia"/>
        </w:rPr>
        <w:t>5.3.2 业务逻辑层模块的接口规范</w:t>
      </w:r>
      <w:bookmarkEnd w:id="18"/>
    </w:p>
    <w:p/>
    <w:p>
      <w:pPr>
        <w:rPr>
          <w:rFonts w:hint="eastAsia"/>
        </w:rPr>
      </w:pPr>
    </w:p>
    <w:p>
      <w:pPr>
        <w:jc w:val="center"/>
      </w:pPr>
      <w:r>
        <w:rPr>
          <w:rFonts w:hint="eastAsia"/>
          <w:b/>
        </w:rPr>
        <w:t>Collectionbl模块的接口规范</w:t>
      </w:r>
    </w:p>
    <w:tbl>
      <w:tblPr>
        <w:tblStyle w:val="18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Collectionbl.getCourierMoney(Courier courier)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</w:tbl>
    <w:p/>
    <w:p/>
    <w:p>
      <w:pPr>
        <w:rPr>
          <w:rFonts w:hint="eastAsia"/>
        </w:rPr>
      </w:pPr>
    </w:p>
    <w:p>
      <w:pPr>
        <w:jc w:val="center"/>
      </w:pPr>
      <w:r>
        <w:rPr>
          <w:rFonts w:hint="eastAsia"/>
          <w:b/>
        </w:rPr>
        <w:t>Transferbl模块的接口规范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/>
        </w:tc>
        <w:tc>
          <w:tcPr>
            <w:tcW w:w="3868" w:type="dxa"/>
            <w:gridSpan w:val="2"/>
            <w:vAlign w:val="top"/>
          </w:tcPr>
          <w:p/>
        </w:tc>
      </w:tr>
    </w:tbl>
    <w:p/>
    <w:p/>
    <w:p/>
    <w:p/>
    <w:p/>
    <w:p/>
    <w:p/>
    <w:p/>
    <w:p/>
    <w:p>
      <w:pPr>
        <w:jc w:val="center"/>
        <w:rPr>
          <w:b/>
        </w:rPr>
      </w:pPr>
      <w:r>
        <w:rPr>
          <w:b/>
        </w:rPr>
        <w:t>Storagebl</w:t>
      </w:r>
      <w:r>
        <w:rPr>
          <w:rFonts w:hint="eastAsia"/>
          <w:b/>
        </w:rPr>
        <w:t>模块的接口规范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  <w:vAlign w:val="top"/>
          </w:tcPr>
          <w:p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  <w:vAlign w:val="top"/>
          </w:tcPr>
          <w:p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/>
    <w:p>
      <w:pPr>
        <w:jc w:val="center"/>
        <w:rPr>
          <w:b/>
        </w:rPr>
      </w:pPr>
      <w:r>
        <w:rPr>
          <w:b/>
        </w:rPr>
        <w:t>Logisticsquerybl</w:t>
      </w:r>
      <w:r>
        <w:rPr>
          <w:rFonts w:hint="eastAsia"/>
          <w:b/>
        </w:rPr>
        <w:t>模块的接口规范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  <w:vAlign w:val="top"/>
          </w:tcPr>
          <w:p/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  <w:vAlign w:val="top"/>
          </w:tcPr>
          <w:p/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  <w:vAlign w:val="top"/>
          </w:tcPr>
          <w:p/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/>
    <w:p/>
    <w:p>
      <w:pPr>
        <w:jc w:val="center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18"/>
        <w:tblpPr w:leftFromText="180" w:rightFromText="180" w:vertAnchor="page" w:horzAnchor="margin" w:tblpXSpec="left" w:tblpY="21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Systembl</w:t>
      </w:r>
      <w:r>
        <w:rPr>
          <w:b/>
        </w:rPr>
        <w:t>的接口规范</w:t>
      </w:r>
      <w:r>
        <w:rPr>
          <w:rFonts w:hint="eastAsia"/>
          <w:b/>
        </w:rPr>
        <w:t>令佩棠</w:t>
      </w:r>
    </w:p>
    <w:tbl>
      <w:tblPr>
        <w:tblStyle w:val="18"/>
        <w:tblpPr w:leftFromText="180" w:rightFromText="180" w:vertAnchor="page" w:horzAnchor="margin" w:tblpXSpec="left" w:tblpY="10636"/>
        <w:tblW w:w="8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rFonts w:hint="eastAsia"/>
          <w:b/>
        </w:rPr>
      </w:pPr>
    </w:p>
    <w:p>
      <w:pPr>
        <w:jc w:val="center"/>
        <w:rPr>
          <w:b/>
        </w:rPr>
      </w:pPr>
      <w:r>
        <w:rPr>
          <w:b/>
        </w:rPr>
        <w:t>Approvebl的接口规范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/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Transferbl.getZloadDoc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得到收款单</w:t>
            </w:r>
          </w:p>
        </w:tc>
      </w:tr>
    </w:tbl>
    <w:p>
      <w:r>
        <w:rPr>
          <w:rFonts w:hint="eastAsia"/>
        </w:rPr>
        <w:t>并不需要approvedataservice,建议删掉</w:t>
      </w:r>
    </w:p>
    <w:p/>
    <w:p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18"/>
        <w:tblW w:w="8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  <w:vAlign w:val="top"/>
          </w:tcPr>
          <w:p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Collectionbl.getCourierMoney(Courier courier)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/>
    <w:p>
      <w:pPr>
        <w:pStyle w:val="3"/>
        <w:ind w:left="210"/>
      </w:pPr>
      <w:bookmarkStart w:id="19" w:name="_Toc21823"/>
      <w:r>
        <w:rPr>
          <w:rFonts w:hint="eastAsia"/>
        </w:rPr>
        <w:t>5.4 数据层的分解</w:t>
      </w:r>
      <w:bookmarkEnd w:id="19"/>
    </w:p>
    <w:p>
      <w:pPr>
        <w:pStyle w:val="4"/>
        <w:ind w:left="420"/>
      </w:pPr>
      <w:bookmarkStart w:id="20" w:name="_Toc16040"/>
      <w:r>
        <w:rPr>
          <w:rFonts w:hint="eastAsia"/>
        </w:rPr>
        <w:t>5.4.1 数据层模块的职责</w:t>
      </w:r>
      <w:bookmarkEnd w:id="20"/>
    </w:p>
    <w:p>
      <w:pPr>
        <w:pStyle w:val="4"/>
        <w:ind w:left="420"/>
      </w:pPr>
      <w:bookmarkStart w:id="21" w:name="_Toc4838"/>
      <w:bookmarkStart w:id="25" w:name="_GoBack"/>
      <w:bookmarkEnd w:id="25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tabs>
                <w:tab w:val="left" w:pos="706"/>
              </w:tabs>
              <w:rPr>
                <w:rFonts w:hint="eastAsia"/>
              </w:rPr>
            </w:pPr>
            <w:r>
              <w:t>StorageDataService.updateOutWarehouseDoc (OutWarehouseDocPO  t 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t>StorageDataService.find(int  StorageItemID)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public void 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得到待审批入库单，返回一个POlist</w:t>
            </w:r>
          </w:p>
        </w:tc>
      </w:tr>
    </w:tbl>
    <w:p/>
    <w:p>
      <w:pPr>
        <w:jc w:val="center"/>
      </w:pP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>
      <w:pPr>
        <w:jc w:val="center"/>
      </w:pPr>
      <w:r>
        <w:rPr>
          <w:rFonts w:hint="eastAsia"/>
        </w:rPr>
        <w:t>令佩棠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dataservice.findCar</w:t>
            </w:r>
          </w:p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Systemdataservice的</w:t>
      </w:r>
      <w:r>
        <w:rPr>
          <w:b/>
        </w:rPr>
        <w:t>接口规范</w:t>
      </w:r>
      <w:r>
        <w:rPr>
          <w:rFonts w:hint="eastAsia"/>
          <w:b/>
        </w:rPr>
        <w:t>令佩棠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/>
    <w:p>
      <w:pPr>
        <w:jc w:val="center"/>
        <w:rPr>
          <w:rFonts w:hint="eastAsia"/>
          <w:b/>
        </w:rPr>
      </w:pP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得到期间收款单列表（PO）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18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/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TransferDataService的接口规范</w:t>
      </w:r>
    </w:p>
    <w:tbl>
      <w:tblPr>
        <w:tblStyle w:val="18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获取中转单序列号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得到待审批中转中心装车单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bookmarkStart w:id="22" w:name="_Toc8943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20987"/>
      <w:r>
        <w:rPr>
          <w:rFonts w:hint="eastAsia"/>
        </w:rPr>
        <w:t>6.1 数据持久化对象</w:t>
      </w:r>
      <w:bookmarkEnd w:id="23"/>
    </w:p>
    <w:p>
      <w:pPr>
        <w:pStyle w:val="3"/>
        <w:ind w:left="210"/>
      </w:pPr>
      <w:bookmarkStart w:id="24" w:name="_Toc22287"/>
      <w:r>
        <w:rPr>
          <w:rFonts w:hint="eastAsia"/>
        </w:rPr>
        <w:t>6.2 Txt持久化格式</w:t>
      </w:r>
      <w:bookmarkEnd w:id="24"/>
    </w:p>
    <w:p/>
    <w:sectPr>
      <w:headerReference r:id="rId4" w:type="default"/>
      <w:footerReference r:id="rId5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2" o:spid="_x0000_s1025" type="#_x0000_t202" style="position:absolute;left:0;margin-top:0pt;height:144pt;width:144pt;mso-position-horizontal:lef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6E13"/>
    <w:rsid w:val="000470FF"/>
    <w:rsid w:val="000C0BAC"/>
    <w:rsid w:val="000E35E8"/>
    <w:rsid w:val="001D0F40"/>
    <w:rsid w:val="00313F95"/>
    <w:rsid w:val="00340E5C"/>
    <w:rsid w:val="00474876"/>
    <w:rsid w:val="005A6E13"/>
    <w:rsid w:val="00693870"/>
    <w:rsid w:val="006A4EDC"/>
    <w:rsid w:val="00770845"/>
    <w:rsid w:val="007E450E"/>
    <w:rsid w:val="008503C3"/>
    <w:rsid w:val="008C2448"/>
    <w:rsid w:val="009C5BF4"/>
    <w:rsid w:val="00A26714"/>
    <w:rsid w:val="00A9253B"/>
    <w:rsid w:val="00BB7F86"/>
    <w:rsid w:val="00C2130A"/>
    <w:rsid w:val="00C23FFA"/>
    <w:rsid w:val="00CD1ED8"/>
    <w:rsid w:val="00D20FB7"/>
    <w:rsid w:val="00D442AF"/>
    <w:rsid w:val="00DC4923"/>
    <w:rsid w:val="00EC444A"/>
    <w:rsid w:val="00FC5E15"/>
    <w:rsid w:val="128846F4"/>
    <w:rsid w:val="1B1F0B0A"/>
    <w:rsid w:val="48017B44"/>
    <w:rsid w:val="4EEA27F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table" w:styleId="18">
    <w:name w:val="Table Grid"/>
    <w:basedOn w:val="17"/>
    <w:uiPriority w:val="99"/>
    <w:pPr/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2985</Words>
  <Characters>17020</Characters>
  <Lines>141</Lines>
  <Paragraphs>39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cp:lastModifiedBy>lin</cp:lastModifiedBy>
  <dcterms:modified xsi:type="dcterms:W3CDTF">2015-10-25T02:48:04Z</dcterms:modified>
  <dc:title>物流管理与服务系统（CMASS）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