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Transferbl模块承担的需求参见需求规格说明文档功能需求及相关非功能需求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Transferbl模块的职责及接口参见软件体系结构描述文档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层、业务逻辑层、数据层间由TransferLogicService接口与TransferDataService分隔，业务逻辑根据不同操作对象，由TransferDoc、ZArrivalDoc等对象完成，TransferDocPO、ZArrivalDocPO等是各单据的持久化对象，TransferDocVO、ZArrivalVO等是各单据的可视化对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Transferbl模块设计如图所示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75630" cy="2815590"/>
            <wp:effectExtent l="0" t="0" r="1270" b="3810"/>
            <wp:docPr id="1" name="图片 1" descr="Transferbl类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ransferbl类设计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模块内部类的接口规范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TransferDoc的接口规范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501"/>
        <w:gridCol w:w="95"/>
        <w:gridCol w:w="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6" w:type="dxa"/>
        </w:trPr>
        <w:tc>
          <w:tcPr>
            <w:tcW w:w="3055" w:type="dxa"/>
            <w:vMerge w:val="restart"/>
          </w:tcPr>
          <w:p>
            <w:pPr/>
            <w:bookmarkStart w:id="0" w:name="_GoBack"/>
            <w:bookmarkEnd w:id="0"/>
            <w:r>
              <w:rPr>
                <w:rFonts w:hint="eastAsia"/>
              </w:rPr>
              <w:t>Transferbl.get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rPr>
                <w:rFonts w:hint="eastAsia"/>
              </w:rPr>
              <w:t>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6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6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>
            <w:pPr/>
            <w:r>
              <w:rPr>
                <w:rFonts w:hint="eastAsia"/>
              </w:rPr>
              <w:t>得到待审批中转单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8391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3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3"/>
          </w:tcPr>
          <w:p>
            <w:pPr/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3"/>
          </w:tcPr>
          <w:p>
            <w:pPr/>
            <w:r>
              <w:rPr>
                <w:rFonts w:hint="eastAsia"/>
              </w:rPr>
              <w:t>获取距离数据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3"/>
          </w:tcPr>
          <w:p>
            <w:pPr/>
            <w:r>
              <w:rPr>
                <w:rFonts w:hint="eastAsia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CollectionDataService.changeSequence(int sequence)</w:t>
            </w:r>
          </w:p>
        </w:tc>
        <w:tc>
          <w:tcPr>
            <w:tcW w:w="4173" w:type="dxa"/>
            <w:gridSpan w:val="3"/>
          </w:tcPr>
          <w:p>
            <w:pPr/>
            <w:r>
              <w:rPr>
                <w:rFonts w:hint="eastAsia"/>
              </w:rPr>
              <w:t>改变最后序列号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CollectionDataService.saveHistory(HistoryPO po)</w:t>
            </w:r>
          </w:p>
        </w:tc>
        <w:tc>
          <w:tcPr>
            <w:tcW w:w="4173" w:type="dxa"/>
            <w:gridSpan w:val="3"/>
          </w:tcPr>
          <w:p>
            <w:pPr/>
            <w:r>
              <w:rPr>
                <w:rFonts w:hint="eastAsia"/>
              </w:rPr>
              <w:t>保存历史数据单一持久化对象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YDeliverDoc的接口规范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OverDoc的接口规范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YLoadDoc的接口规范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ZLoadDoc的接口规范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YArrivalDoc的接口规范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ZArrivalDoc的接口规范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业务逻辑层的动态模型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图示表明了系统中，中转中心业务员选择汽运中转，输入到达地，车次号，监装员和所有单号后，揽件逻辑处理的相关对象之间的协作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3079115"/>
            <wp:effectExtent l="0" t="0" r="5715" b="6985"/>
            <wp:docPr id="3" name="图片 3" descr="汽运中转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汽运中转顺序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业务逻辑层的设计原理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利用分散式控制风格，每个操作不同对象的业务逻辑由不同的逻辑对象提供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875715">
    <w:nsid w:val="563D9243"/>
    <w:multiLevelType w:val="singleLevel"/>
    <w:tmpl w:val="563D9243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468757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D7146"/>
    <w:rsid w:val="109D7146"/>
    <w:rsid w:val="16C624EA"/>
    <w:rsid w:val="1C93646E"/>
    <w:rsid w:val="416C5E78"/>
    <w:rsid w:val="44A21D28"/>
    <w:rsid w:val="632179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2015-11-07T08:03:00Z</dcterms:created>
  <dc:creator>lin</dc:creator>
  <cp:lastModifiedBy>lin</cp:lastModifiedBy>
  <dcterms:modified xsi:type="dcterms:W3CDTF">2015-11-07T10:02:27Z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