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Pair Project Proposal</w:t>
      </w:r>
    </w:p>
    <w:p>
      <w:pPr>
        <w:pStyle w:val="Subtitle"/>
      </w:pPr>
      <w:r>
        <w:t>Explaining and Predicting Residential House Prices</w:t>
      </w:r>
    </w:p>
    <w:p>
      <w:r>
        <w:rPr>
          <w:rFonts w:ascii="Calibri" w:hAnsi="Calibri" w:eastAsia="Microsoft YaHei"/>
          <w:color w:val="000000"/>
          <w:sz w:val="22"/>
        </w:rPr>
        <w:t>CISC7204 Data Science and Data Visualization</w:t>
        <w:br/>
        <w:t>Assignment 02 Revised Pair Project Proposal</w:t>
        <w:br/>
        <w:t>Class C Pair 15</w:t>
        <w:br/>
        <w:t>LU MENGJIE 卢孟杰 · MC643920</w:t>
        <w:br/>
        <w:t>HUANG DUANFU 黄端甫 · MC643577</w:t>
        <w:br/>
        <w:t>21 October 2026</w:t>
      </w:r>
    </w:p>
    <w:p>
      <w:pPr>
        <w:pStyle w:val="Heading1"/>
      </w:pPr>
      <w:r>
        <w:t>Project topic and research question</w:t>
      </w:r>
    </w:p>
    <w:p>
      <w:r>
        <w:t>Region: King County, Washington, United States, including Seattle. Domain: residential real estate and predictive data analysis. We propose to investigate: how much do living area, building grade and location explain historical residential sale prices, and can a regularised regression model improve held-out prediction error over simple baselines without obscuring its limitations?</w:t>
      </w:r>
    </w:p>
    <w:p>
      <w:pPr>
        <w:pStyle w:val="Heading1"/>
      </w:pPr>
      <w:r>
        <w:t>Purpose and learning outcomes</w:t>
      </w:r>
    </w:p>
    <w:p>
      <w:r>
        <w:t>This proposal revises the Assignment 01 house-price topic into a pair project with explicit validation, visual storytelling and reproducibility requirements. It connects the course workflow of data preparation, exploratory analysis, regression, model evaluation and visualisation. The intended audience is a reader who needs to understand historical price differences and the reliability of an estimate, rather than a current market valuation.</w:t>
      </w:r>
    </w:p>
    <w:p>
      <w:r>
        <w:t>We will practise pandas data audits, NumPy summaries, Matplotlib and Seaborn plots, scikit-learn preprocessing pipelines and clear documentation. The substantive knowledge concerns skewed prices, confounding, model generalisation and why prediction does not establish a causal effect. Expected results are analytical deliverables, not a predetermined score or guaranteed model improvement.</w:t>
      </w:r>
    </w:p>
    <w:p>
      <w:r>
        <w:br w:type="page"/>
      </w:r>
    </w:p>
    <w:p>
      <w:pPr>
        <w:pStyle w:val="Heading1"/>
      </w:pPr>
      <w:r>
        <w:t>Data sources and scope</w:t>
      </w:r>
    </w:p>
    <w:p>
      <w:r>
        <w:t>Primary data: House Sales in King County, USA, available at https://www.kaggle.com/datasets/harlfoxem/housesalesprediction. This historical collection covers homes sold in May 2014 to May 2015 and provides 21,613 observations with sale prices and property characteristics. We will retain the course-supplied housing.csv variant from Assignment 01 and audit its columns, missing values and index-like fields rather than assuming it is identical to every public mirror.</w:t>
      </w:r>
    </w:p>
    <w:p>
      <w:r>
        <w:t>Second available source: King County Assessor eSales, https://info.kingcounty.gov/assessor/esales/eSales.aspx, provides a tabular search of sold properties by parcel and area. It will support checking variable meanings and a small historical plausibility comparison where comparable records are accessible. It is not assumed to be an already matched modelling table. If parcel identifiers or periods cannot be aligned, we will document that limitation and keep the core analysis on the historical primary dataset.</w:t>
      </w:r>
    </w:p>
    <w:p>
      <w:r>
        <w:t>Additional official documentation: https://kingcounty.gov/en/dept/assessor and https://data.kingcounty.gov/Property-Assessments/eReal-Property-Search/4zym-vfd2. Access conditions and attribution will be recorded before redistributing any newly retrieved records. The proposal contains no owner contact information; visual outputs will avoid identifying individual households.</w:t>
      </w:r>
    </w:p>
    <w:p>
      <w:pPr>
        <w:pStyle w:val="Heading1"/>
      </w:pPr>
      <w:r>
        <w:t>Variables and quality checks</w:t>
      </w:r>
    </w:p>
    <w:p>
      <w:r>
        <w:t>The outcome is sale price in US dollars. Initial predictors are living area, bedrooms, bathrooms, grade, condition, floors, waterfront, age at sale, renovation indicator, and location features. Parcel ID is used to detect repeated properties, not as a numeric predictor. Sale date is reserved for chronological evaluation. We will check units, missingness, implausible counts, price positivity, repeated IDs and unusual observations, and retain an audit table of every exclusion or transformation.</w:t>
      </w:r>
    </w:p>
    <w:p>
      <w:pPr>
        <w:pStyle w:val="Heading1"/>
      </w:pPr>
      <w:r>
        <w:t>How the visualisations address the question</w:t>
      </w:r>
    </w:p>
    <w:p>
      <w:r>
        <w:t>Price distributions on raw and logarithmic axes will establish skewness. A living-area versus price scatter plot and grade-stratified summaries will reveal associations and variation. Maps or location summaries will show spatial differences without implying that location causes value. Every plot will identify its population, units and aggregation; skewness and outliers will be shown rather than concealed by an unsuitable scale.</w:t>
      </w:r>
    </w:p>
    <w:p>
      <w:r>
        <w:t>Predicted-versus-observed plots and residual plots will connect the explanatory patterns to the prediction question. Residual spread by price range will identify where errors are larger. Comparing identical held-out cases across models will help the reader distinguish an attractive fitted line from evidence of generalisation.</w:t>
      </w:r>
    </w:p>
    <w:p>
      <w:r>
        <w:br w:type="page"/>
      </w:r>
    </w:p>
    <w:p>
      <w:pPr>
        <w:pStyle w:val="Heading1"/>
      </w:pPr>
      <w:r>
        <w:t>Project tasks and deliverables</w:t>
      </w:r>
    </w:p>
    <w:p>
      <w:r>
        <w:t>Stage 1 — Data audit. Freeze source copies, record provenance and usage conditions, build a data dictionary, and document missingness and repeated property IDs. Deliverables: input manifest, quality table and reproducible cleaning cells.</w:t>
      </w:r>
    </w:p>
    <w:p>
      <w:r>
        <w:t>Stage 2 — Exploration. Produce at least four labelled views covering distributions, area and grade associations, geographic variation and potential anomalies. Separate descriptive findings from causal explanations. Deliverables: an exploratory notebook, chart captions and a short list of modelling hypotheses.</w:t>
      </w:r>
    </w:p>
    <w:p>
      <w:r>
        <w:t>Stage 3 — Validation and modelling. Reserve a chronological test period before model selection and prevent the same property ID from appearing across training and test partitions. Within the remaining data, use an appropriate validation split for tuning. Fit a training-set median baseline, a living-area linear model, a multiple regression and a Ridge pipeline. Consider polynomial terms only if validation supports them. Fit imputation, scaling and feature construction exclusively within training partitions.</w:t>
      </w:r>
    </w:p>
    <w:p>
      <w:r>
        <w:t>Stage 4 — Evaluation and communication. Report MAE, RMSE and R² on the same untouched test partition in the original dollar scale. If log prices are modelled, explain the inverse transformation and possible retransformation bias. Inspect residuals and errors by price range, compare model stability and discuss limitations. Deliverables: comparison table, diagnostic charts and a concise stakeholder narrative.</w:t>
      </w:r>
    </w:p>
    <w:p>
      <w:r>
        <w:t>Stage 5 — Reproduction and review. Provide an executed notebook, relative data paths, environment requirements, README and exported figures. A second member will rerun the analysis from a clean kernel and check that chart claims match computed results. A dashboard is an optional communication extension, subordinate to a validated analysis.</w:t>
      </w:r>
    </w:p>
    <w:p>
      <w:pPr>
        <w:pStyle w:val="Heading1"/>
      </w:pPr>
      <w:r>
        <w:t>Criteria for success</w:t>
      </w:r>
    </w:p>
    <w:p>
      <w:r>
        <w:t>The project succeeds if all required inputs are attributable; cleaning and split decisions are explicit; repeated-property leakage is checked; the complete notebook runs without errors; at least four readable charts support the research question; and model metrics are computed only on the declared evaluation cases. A useful model should improve MAE over the median baseline, but failure to improve is a result to explain, not a reason to alter the test set. We will use a checklist covering data integrity, reproducibility, validation, chart clarity and honest interpretation.</w:t>
      </w:r>
    </w:p>
    <w:p>
      <w:r>
        <w:br w:type="page"/>
      </w:r>
    </w:p>
    <w:p>
      <w:pPr>
        <w:pStyle w:val="Heading1"/>
      </w:pPr>
      <w:r>
        <w:t>Collaboration and working rules</w:t>
      </w:r>
    </w:p>
    <w:p>
      <w:r>
        <w:t>The following is a proposed division of work, not a claim that both members have already performed it. LU MENGJIE will coordinate the analysis plan, lead exploratory visualisation and maintain the progress tracker. HUANG DUANFU will lead source documentation, data-quality checks and the first modelling implementation. Both will review the feature choices, validation split, metrics and written conclusions. Each member will rerun and explain the other member’s core work.</w:t>
      </w:r>
    </w:p>
    <w:p>
      <w:r>
        <w:t>LU MENGJIE will act as project coordinator and course liaison; HUANG DUANFU will act as project scribe and maintain the data dictionary and decision log. Both will maintain dated task updates. Disagreements about transformations or model selection will be resolved with documented validation evidence, preserving an auditable record of the rejected alternative. Neither member will overwrite the other’s work without review; public sharing requires a check for restricted data or personal details.</w:t>
      </w:r>
    </w:p>
    <w:p>
      <w:r>
        <w:t>Planned sequence: agree the question and audit the data first; complete exploratory views second; validate and compare models third; then cross-review, rerun and prepare the final narrative. Exact final-project delivery dates will follow the course schedule. Both students must make their own required course submissions even where a shared pair document is used.</w:t>
      </w:r>
    </w:p>
    <w:p>
      <w:pPr>
        <w:pStyle w:val="Heading1"/>
      </w:pPr>
      <w:r>
        <w:t>Limitations and responsible interpretation</w:t>
      </w:r>
    </w:p>
    <w:p>
      <w:r>
        <w:t>A historical single-county dataset cannot establish current market values or transferability to other cities. Unmeasured property attributes and economic conditions may confound associations. Chronological evaluation may be sensitive to a short test window. Official assessment records and transaction prices describe different constructs and should not be pooled without justification. Results will be reported as educational analysis, with no mortgage, purchase or investment recommendation.</w:t>
      </w:r>
    </w:p>
    <w:p>
      <w:pPr>
        <w:pStyle w:val="Heading1"/>
      </w:pPr>
      <w:r>
        <w:t>References and assistance declaration</w:t>
      </w:r>
    </w:p>
    <w:p>
      <w:r>
        <w:t>harlfoxem. (n.d.). House Sales in King County, USA [Data set]. Kaggle. https://www.kaggle.com/datasets/harlfoxem/housesalesprediction</w:t>
        <w:br/>
        <w:t>King County Department of Assessments. (n.d.). eSales. https://info.kingcounty.gov/assessor/esales/eSales.aspx</w:t>
        <w:br/>
        <w:t>King County Open Data. (n.d.). eReal Property Search. https://data.kingcounty.gov/Property-Assessments/eReal-Property-Search/4zym-vfd2</w:t>
        <w:br/>
        <w:t>CISC7204. (2026). Assignment 02 requirements, Project Proposal Ideation and Project Proposal Guideline [Course materials].</w:t>
      </w:r>
    </w:p>
    <w:p>
      <w:r>
        <w:t>AI assistance: OpenAI Codex assisted with proposal drafting and organisation. The students should review and approve the proposed plan and division of work before submission. No completed empirical findings or completed partner contributions are asserted by this proposal.</w:t>
      </w:r>
    </w:p>
    <w:sectPr w:rsidR="00FC693F" w:rsidRPr="0006063C" w:rsidSect="00034616">
      <w:footerReference w:type="default" r:id="rId9"/>
      <w:pgSz w:w="11906"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