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48"/>
          <w:szCs w:val="48"/>
        </w:rPr>
        <w:t xml:space="preserve">Academic Research Assistant Platform</w:t>
      </w:r>
    </w:p>
    <w:p>
      <w:pPr>
        <w:spacing w:after="160" w:before="0"/>
        <w:jc w:val="center"/>
      </w:pPr>
      <w:r>
        <w:rPr>
          <w:rFonts w:ascii="Arial" w:cs="Arial" w:eastAsia="Arial" w:hAnsi="Arial"/>
          <w:b/>
          <w:bCs/>
          <w:color w:val="2E75B6"/>
          <w:sz w:val="36"/>
          <w:szCs w:val="36"/>
        </w:rPr>
        <w:t xml:space="preserve">Product Concept Document</w:t>
      </w:r>
    </w:p>
    <w:p>
      <w:pPr>
        <w:spacing w:after="160" w:before="0"/>
        <w:jc w:val="center"/>
      </w:pPr>
      <w:r>
        <w:rPr>
          <w:rFonts w:ascii="Arial" w:cs="Arial" w:eastAsia="Arial" w:hAnsi="Arial"/>
          <w:color w:val="444444"/>
          <w:sz w:val="26"/>
          <w:szCs w:val="26"/>
        </w:rPr>
        <w:t xml:space="preserve">High-Level Scope &amp; Requirements</w:t>
      </w:r>
    </w:p>
    <w:p>
      <w:pPr>
        <w:spacing w:after="400" w:before="0"/>
        <w:jc w:val="center"/>
      </w:pPr>
      <w:r>
        <w:rPr>
          <w:rFonts w:ascii="Arial" w:cs="Arial" w:eastAsia="Arial" w:hAnsi="Arial"/>
          <w:color w:val="666666"/>
          <w:sz w:val="24"/>
          <w:szCs w:val="24"/>
        </w:rPr>
        <w:t xml:space="preserve">Version 1.2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180"/>
              <w:bottom w:type="dxa" w:w="120"/>
              <w:right w:type="dxa" w:w="180"/>
            </w:tcMar>
          </w:tcPr>
          <w:p>
            <w:r>
              <w:rPr>
                <w:rFonts w:ascii="Arial" w:cs="Arial" w:eastAsia="Arial" w:hAnsi="Arial"/>
                <w:i/>
                <w:iCs/>
                <w:sz w:val="22"/>
                <w:szCs w:val="22"/>
              </w:rPr>
              <w:t xml:space="preserve">Changelog — v1.2 (May 2026): Section 3B (new): Instruction Studio added as first-class platform area — minimal UI in MVP, full studio in Phase 1. Section 6: Document handling updated with expanded file format support (PDF, Word, TXT, Excel/CSV, LaTeX in MVP), table extraction as structured data, full vision for embedded images deferred to Phase 1. Section 9: Output updated with full markdown editing and task memory display model. New Appendix entry for Instruction Studio. All other sections unchanged from v1.1.</w:t>
            </w:r>
          </w:p>
        </w:tc>
      </w:tr>
    </w:tbl>
    <w:p>
      <w:pPr>
        <w:spacing w:after="60" w:before="60"/>
      </w:pPr>
      <w:r>
        <w:t xml:space="preserve"/>
      </w:r>
    </w:p>
    <w:p>
      <w:pPr>
        <w:pStyle w:val="Heading1"/>
        <w:spacing w:after="200" w:before="400"/>
      </w:pPr>
      <w:r>
        <w:rPr>
          <w:rFonts w:ascii="Arial" w:cs="Arial" w:eastAsia="Arial" w:hAnsi="Arial"/>
          <w:b/>
          <w:bCs/>
          <w:color w:val="1F3864"/>
          <w:sz w:val="34"/>
          <w:szCs w:val="34"/>
        </w:rPr>
        <w:t xml:space="preserve">Executive Summary</w:t>
      </w:r>
    </w:p>
    <w:p>
      <w:pPr>
        <w:spacing w:after="80" w:before="80"/>
      </w:pPr>
      <w:r>
        <w:rPr>
          <w:rFonts w:ascii="Arial" w:cs="Arial" w:eastAsia="Arial" w:hAnsi="Arial"/>
          <w:sz w:val="24"/>
          <w:szCs w:val="24"/>
        </w:rPr>
        <w:t xml:space="preserve">The Academic Research Assistant Platform is an AI-powered workspace designed to support academic researchers throughout their core professional workflows. Built around a modular architecture, the platform provides intelligent assistance for reviewing articles and papers, evaluating student submissions, and analyzing an author's own work — with a framework that supports adding new module types over time.</w:t>
      </w:r>
    </w:p>
    <w:p>
      <w:pPr>
        <w:spacing w:after="80" w:before="80"/>
      </w:pPr>
      <w:r>
        <w:rPr>
          <w:rFonts w:ascii="Arial" w:cs="Arial" w:eastAsia="Arial" w:hAnsi="Arial"/>
          <w:sz w:val="24"/>
          <w:szCs w:val="24"/>
        </w:rPr>
        <w:t xml:space="preserve">The platform's core value proposition is not simply AI assistance, but structured, guided AI assistance. The quality of results is governed by a layered instruction system — maintained at the platform level, enriched at the organization, user, and cluster levels, and contextualized at the task level — that encodes best practices for academic work and improves over time based on user feedback.</w:t>
      </w:r>
    </w:p>
    <w:p>
      <w:pPr>
        <w:spacing w:after="80" w:before="80"/>
      </w:pPr>
      <w:r>
        <w:rPr>
          <w:rFonts w:ascii="Arial" w:cs="Arial" w:eastAsia="Arial" w:hAnsi="Arial"/>
          <w:sz w:val="24"/>
          <w:szCs w:val="24"/>
        </w:rPr>
        <w:t xml:space="preserve">Work is organized as Tasks — flexible containers of documents, context, and memory — within which the user opens focused Threads representing specific analytical activities. Tasks can be grouped into Clusters that share a common knowledge base and instructions. Each thread has its own scoped conversation with the AI, while a shared Task Memory accumulates findings and decisions across all threads in a task. Threads can be run manually or as part of automated sequential Workflows that execute unattended, pausing only when intervention is required.</w:t>
      </w:r>
    </w:p>
    <w:p>
      <w:pPr>
        <w:spacing w:after="80" w:before="80"/>
      </w:pPr>
      <w:r>
        <w:rPr>
          <w:rFonts w:ascii="Arial" w:cs="Arial" w:eastAsia="Arial" w:hAnsi="Arial"/>
          <w:sz w:val="24"/>
          <w:szCs w:val="24"/>
        </w:rPr>
        <w:t xml:space="preserve">Instructions are authored, versioned, and managed in the Instruction Studio — a dedicated first-class area of the platform that provides structured editing, version control, and quality evaluation tools for all five instruction levels. The Instruction Studio is distinct from the working modules and from settings; it is an authoring and quality management capability central to the platform's core value proposition.</w:t>
      </w:r>
    </w:p>
    <w:p>
      <w:pPr>
        <w:spacing w:after="80" w:before="80"/>
      </w:pPr>
      <w:r>
        <w:rPr>
          <w:rFonts w:ascii="Arial" w:cs="Arial" w:eastAsia="Arial" w:hAnsi="Arial"/>
          <w:sz w:val="24"/>
          <w:szCs w:val="24"/>
        </w:rPr>
        <w:t xml:space="preserve">The platform is designed for professional daily use by individual researchers and academic organizations. It is built to be multi-lingual from launch, with English and Hebrew support in phase one.</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1. Product Vision &amp; Objectives</w:t>
      </w:r>
    </w:p>
    <w:p>
      <w:pPr>
        <w:pStyle w:val="Heading2"/>
        <w:spacing w:after="160" w:before="280"/>
      </w:pPr>
      <w:r>
        <w:rPr>
          <w:rFonts w:ascii="Arial" w:cs="Arial" w:eastAsia="Arial" w:hAnsi="Arial"/>
          <w:b/>
          <w:bCs/>
          <w:color w:val="2E75B6"/>
          <w:sz w:val="28"/>
          <w:szCs w:val="28"/>
        </w:rPr>
        <w:t xml:space="preserve">1.1 Core Problem</w:t>
      </w:r>
    </w:p>
    <w:p>
      <w:pPr>
        <w:spacing w:after="80" w:before="80"/>
      </w:pPr>
      <w:r>
        <w:rPr>
          <w:rFonts w:ascii="Arial" w:cs="Arial" w:eastAsia="Arial" w:hAnsi="Arial"/>
          <w:sz w:val="24"/>
          <w:szCs w:val="24"/>
        </w:rPr>
        <w:t xml:space="preserve">Academic researchers in senior positions spend significant time on repetitive but intellectually demanding tasks: reviewing papers for publishers, evaluating student submissions, and preparing their own work for publication. These tasks require deep domain expertise, consistent methodology, and careful attention to academic standards. AI assistance has the potential to accelerate and improve this work significantly — but only if the AI is properly guided with the right context, instructions, and frameworks.</w:t>
      </w:r>
    </w:p>
    <w:p>
      <w:pPr>
        <w:pStyle w:val="Heading2"/>
        <w:spacing w:after="160" w:before="280"/>
      </w:pPr>
      <w:r>
        <w:rPr>
          <w:rFonts w:ascii="Arial" w:cs="Arial" w:eastAsia="Arial" w:hAnsi="Arial"/>
          <w:b/>
          <w:bCs/>
          <w:color w:val="2E75B6"/>
          <w:sz w:val="28"/>
          <w:szCs w:val="28"/>
        </w:rPr>
        <w:t xml:space="preserve">1.2 Solution</w:t>
      </w:r>
    </w:p>
    <w:p>
      <w:pPr>
        <w:spacing w:after="80" w:before="80"/>
      </w:pPr>
      <w:r>
        <w:rPr>
          <w:rFonts w:ascii="Arial" w:cs="Arial" w:eastAsia="Arial" w:hAnsi="Arial"/>
          <w:sz w:val="24"/>
          <w:szCs w:val="24"/>
        </w:rPr>
        <w:t xml:space="preserve">A structured AI workspace where the user defines the rules, context, and standards, and the AI does the analytical heavy lifting. The platform acts as an intelligent research assistant that knows how academic work should be done, learns the user's preferences over time, and manages multiple parallel workstreams efficiently.</w:t>
      </w:r>
    </w:p>
    <w:p>
      <w:pPr>
        <w:pStyle w:val="Heading2"/>
        <w:spacing w:after="160" w:before="280"/>
      </w:pPr>
      <w:r>
        <w:rPr>
          <w:rFonts w:ascii="Arial" w:cs="Arial" w:eastAsia="Arial" w:hAnsi="Arial"/>
          <w:b/>
          <w:bCs/>
          <w:color w:val="2E75B6"/>
          <w:sz w:val="28"/>
          <w:szCs w:val="28"/>
        </w:rPr>
        <w:t xml:space="preserve">1.3 Design Principles</w:t>
      </w:r>
    </w:p>
    <w:p>
      <w:pPr>
        <w:pStyle w:val="ListParagraph"/>
        <w:numPr>
          <w:ilvl w:val="0"/>
          <w:numId w:val="2"/>
        </w:numPr>
        <w:spacing w:after="40" w:before="40"/>
      </w:pPr>
      <w:r>
        <w:rPr>
          <w:rFonts w:ascii="Arial" w:cs="Arial" w:eastAsia="Arial" w:hAnsi="Arial"/>
          <w:sz w:val="24"/>
          <w:szCs w:val="24"/>
        </w:rPr>
        <w:t xml:space="preserve">AI does the work, the user provides judgment — the platform performs analysis and produces structured outputs; the user reviews, refines, and approves</w:t>
      </w:r>
    </w:p>
    <w:p>
      <w:pPr>
        <w:pStyle w:val="ListParagraph"/>
        <w:numPr>
          <w:ilvl w:val="0"/>
          <w:numId w:val="2"/>
        </w:numPr>
        <w:spacing w:after="40" w:before="40"/>
      </w:pPr>
      <w:r>
        <w:rPr>
          <w:rFonts w:ascii="Arial" w:cs="Arial" w:eastAsia="Arial" w:hAnsi="Arial"/>
          <w:sz w:val="24"/>
          <w:szCs w:val="24"/>
        </w:rPr>
        <w:t xml:space="preserve">Structured guidance over raw prompting — users interact in plain language; the instruction layer enriches and structures prompts behind the scenes</w:t>
      </w:r>
    </w:p>
    <w:p>
      <w:pPr>
        <w:pStyle w:val="ListParagraph"/>
        <w:numPr>
          <w:ilvl w:val="0"/>
          <w:numId w:val="2"/>
        </w:numPr>
        <w:spacing w:after="40" w:before="40"/>
      </w:pPr>
      <w:r>
        <w:rPr>
          <w:rFonts w:ascii="Arial" w:cs="Arial" w:eastAsia="Arial" w:hAnsi="Arial"/>
          <w:sz w:val="24"/>
          <w:szCs w:val="24"/>
        </w:rPr>
        <w:t xml:space="preserve">Context persistence — task memory ensures the AI always has relevant background from previous work within a task</w:t>
      </w:r>
    </w:p>
    <w:p>
      <w:pPr>
        <w:pStyle w:val="ListParagraph"/>
        <w:numPr>
          <w:ilvl w:val="0"/>
          <w:numId w:val="2"/>
        </w:numPr>
        <w:spacing w:after="40" w:before="40"/>
      </w:pPr>
      <w:r>
        <w:rPr>
          <w:rFonts w:ascii="Arial" w:cs="Arial" w:eastAsia="Arial" w:hAnsi="Arial"/>
          <w:sz w:val="24"/>
          <w:szCs w:val="24"/>
        </w:rPr>
        <w:t xml:space="preserve">Token and cost optimization by design — RAG document retrieval, session compacting, model switching and routing, and budget controls are built in from the start</w:t>
      </w:r>
    </w:p>
    <w:p>
      <w:pPr>
        <w:pStyle w:val="ListParagraph"/>
        <w:numPr>
          <w:ilvl w:val="0"/>
          <w:numId w:val="2"/>
        </w:numPr>
        <w:spacing w:after="40" w:before="40"/>
      </w:pPr>
      <w:r>
        <w:rPr>
          <w:rFonts w:ascii="Arial" w:cs="Arial" w:eastAsia="Arial" w:hAnsi="Arial"/>
          <w:sz w:val="24"/>
          <w:szCs w:val="24"/>
        </w:rPr>
        <w:t xml:space="preserve">Extensible by design — the module framework, instruction layer, and integration architecture accommodate new capabilities without rebuilding core infrastructure</w:t>
      </w:r>
    </w:p>
    <w:p>
      <w:pPr>
        <w:pStyle w:val="ListParagraph"/>
        <w:numPr>
          <w:ilvl w:val="0"/>
          <w:numId w:val="2"/>
        </w:numPr>
        <w:spacing w:after="40" w:before="40"/>
      </w:pPr>
      <w:r>
        <w:rPr>
          <w:rFonts w:ascii="Arial" w:cs="Arial" w:eastAsia="Arial" w:hAnsi="Arial"/>
          <w:sz w:val="24"/>
          <w:szCs w:val="24"/>
        </w:rPr>
        <w:t xml:space="preserve">Multi-lingual from launch — English and Hebrew in phase one, with additional languages in later phases</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2. Core Modules</w:t>
      </w:r>
    </w:p>
    <w:p>
      <w:pPr>
        <w:pStyle w:val="Heading2"/>
        <w:spacing w:after="160" w:before="280"/>
      </w:pPr>
      <w:r>
        <w:rPr>
          <w:rFonts w:ascii="Arial" w:cs="Arial" w:eastAsia="Arial" w:hAnsi="Arial"/>
          <w:b/>
          <w:bCs/>
          <w:color w:val="2E75B6"/>
          <w:sz w:val="28"/>
          <w:szCs w:val="28"/>
        </w:rPr>
        <w:t xml:space="preserve">2.1 Module Framework</w:t>
      </w:r>
    </w:p>
    <w:p>
      <w:pPr>
        <w:spacing w:after="80" w:before="80"/>
      </w:pPr>
      <w:r>
        <w:rPr>
          <w:rFonts w:ascii="Arial" w:cs="Arial" w:eastAsia="Arial" w:hAnsi="Arial"/>
          <w:sz w:val="24"/>
          <w:szCs w:val="24"/>
        </w:rPr>
        <w:t xml:space="preserve">The platform is organized around modules, each representing a distinct type of academic work. All modules share a common infrastructure — task and thread management, cluster and document handling, AI interaction, instruction layer, feedback, and output — while having their own specific context fields, activity libraries, instruction templates, and output formats.</w:t>
      </w:r>
    </w:p>
    <w:p>
      <w:pPr>
        <w:pStyle w:val="Heading2"/>
        <w:spacing w:after="160" w:before="280"/>
      </w:pPr>
      <w:r>
        <w:rPr>
          <w:rFonts w:ascii="Arial" w:cs="Arial" w:eastAsia="Arial" w:hAnsi="Arial"/>
          <w:b/>
          <w:bCs/>
          <w:color w:val="2E75B6"/>
          <w:sz w:val="28"/>
          <w:szCs w:val="28"/>
        </w:rPr>
        <w:t xml:space="preserve">2.2 Module 1 — Article Self-Review</w:t>
      </w:r>
    </w:p>
    <w:p>
      <w:pPr>
        <w:spacing w:after="80" w:before="80"/>
      </w:pPr>
      <w:r>
        <w:rPr>
          <w:rFonts w:ascii="Arial" w:cs="Arial" w:eastAsia="Arial" w:hAnsi="Arial"/>
          <w:sz w:val="24"/>
          <w:szCs w:val="24"/>
        </w:rPr>
        <w:t xml:space="preserve">Supports the researcher in analyzing their own articles before submission. The AI evaluates the article for internal coherence, assumption support, reference quality, and fit for a specific target publication. The module does not modify the article — it produces recommendations and findings only.</w:t>
      </w:r>
    </w:p>
    <w:p>
      <w:pPr>
        <w:pStyle w:val="Heading2"/>
        <w:spacing w:after="160" w:before="280"/>
      </w:pPr>
      <w:r>
        <w:rPr>
          <w:rFonts w:ascii="Arial" w:cs="Arial" w:eastAsia="Arial" w:hAnsi="Arial"/>
          <w:b/>
          <w:bCs/>
          <w:color w:val="2E75B6"/>
          <w:sz w:val="28"/>
          <w:szCs w:val="28"/>
        </w:rPr>
        <w:t xml:space="preserve">2.3 Module 2 — External Paper Review</w:t>
      </w:r>
    </w:p>
    <w:p>
      <w:pPr>
        <w:spacing w:after="80" w:before="80"/>
      </w:pPr>
      <w:r>
        <w:rPr>
          <w:rFonts w:ascii="Arial" w:cs="Arial" w:eastAsia="Arial" w:hAnsi="Arial"/>
          <w:sz w:val="24"/>
          <w:szCs w:val="24"/>
        </w:rPr>
        <w:t xml:space="preserve">Supports the researcher in reviewing papers received from academic publishers for peer review. The AI evaluates the paper against academic standards and publisher-specific guidelines, producing a structured review report. The module can follow a specific publisher's review template when provided as a reference document.</w:t>
      </w:r>
    </w:p>
    <w:p>
      <w:pPr>
        <w:pStyle w:val="Heading2"/>
        <w:spacing w:after="160" w:before="280"/>
      </w:pPr>
      <w:r>
        <w:rPr>
          <w:rFonts w:ascii="Arial" w:cs="Arial" w:eastAsia="Arial" w:hAnsi="Arial"/>
          <w:b/>
          <w:bCs/>
          <w:color w:val="2E75B6"/>
          <w:sz w:val="28"/>
          <w:szCs w:val="28"/>
        </w:rPr>
        <w:t xml:space="preserve">2.4 Module 3 — Student Paper Review</w:t>
      </w:r>
    </w:p>
    <w:p>
      <w:pPr>
        <w:spacing w:after="80" w:before="80"/>
      </w:pPr>
      <w:r>
        <w:rPr>
          <w:rFonts w:ascii="Arial" w:cs="Arial" w:eastAsia="Arial" w:hAnsi="Arial"/>
          <w:sz w:val="24"/>
          <w:szCs w:val="24"/>
        </w:rPr>
        <w:t xml:space="preserve">Supports the researcher in reviewing student submissions. The AI evaluates the paper and produces structured feedback including both a narrative assessment and a scorecard with ratings across defined dimensions. Supports version comparison — evaluating a resubmission against a previous version.</w:t>
      </w:r>
    </w:p>
    <w:p>
      <w:pPr>
        <w:spacing w:after="80" w:before="80"/>
      </w:pPr>
      <w:r>
        <w:rPr>
          <w:rFonts w:ascii="Arial" w:cs="Arial" w:eastAsia="Arial" w:hAnsi="Arial"/>
          <w:sz w:val="24"/>
          <w:szCs w:val="24"/>
        </w:rPr>
        <w:t xml:space="preserve">Student Paper Review uses an Assignment/Submission hierarchy within the Cluster model. An Assignment is a Cluster that groups all submissions for a single assessment, holding the shared rubric, guidelines, and knowledge base. Each student's submission is an independent Task within the Assignment.</w:t>
      </w:r>
    </w:p>
    <w:p>
      <w:pPr>
        <w:pStyle w:val="Heading2"/>
        <w:spacing w:after="160" w:before="280"/>
      </w:pPr>
      <w:r>
        <w:rPr>
          <w:rFonts w:ascii="Arial" w:cs="Arial" w:eastAsia="Arial" w:hAnsi="Arial"/>
          <w:b/>
          <w:bCs/>
          <w:color w:val="2E75B6"/>
          <w:sz w:val="28"/>
          <w:szCs w:val="28"/>
        </w:rPr>
        <w:t xml:space="preserve">2.5 Module 4 — Article Writing (Future)</w:t>
      </w:r>
    </w:p>
    <w:p>
      <w:pPr>
        <w:spacing w:after="80" w:before="80"/>
      </w:pPr>
      <w:r>
        <w:rPr>
          <w:rFonts w:ascii="Arial" w:cs="Arial" w:eastAsia="Arial" w:hAnsi="Arial"/>
          <w:sz w:val="24"/>
          <w:szCs w:val="24"/>
        </w:rPr>
        <w:t xml:space="preserve">A future module supporting the full article writing process from outline to submission-ready manuscript. Not in scope for phase one or phase two.</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3. Task &amp; Thread Model</w:t>
      </w:r>
    </w:p>
    <w:p>
      <w:pPr>
        <w:pStyle w:val="Heading2"/>
        <w:spacing w:after="160" w:before="280"/>
      </w:pPr>
      <w:r>
        <w:rPr>
          <w:rFonts w:ascii="Arial" w:cs="Arial" w:eastAsia="Arial" w:hAnsi="Arial"/>
          <w:b/>
          <w:bCs/>
          <w:color w:val="2E75B6"/>
          <w:sz w:val="28"/>
          <w:szCs w:val="28"/>
        </w:rPr>
        <w:t xml:space="preserve">3.1 Tasks</w:t>
      </w:r>
    </w:p>
    <w:p>
      <w:pPr>
        <w:spacing w:after="80" w:before="80"/>
      </w:pPr>
      <w:r>
        <w:rPr>
          <w:rFonts w:ascii="Arial" w:cs="Arial" w:eastAsia="Arial" w:hAnsi="Arial"/>
          <w:sz w:val="24"/>
          <w:szCs w:val="24"/>
        </w:rPr>
        <w:t xml:space="preserve">A Task is the primary unit of work. It is a flexible container holding all information, documents, context, and history related to a single piece of academic work. Tasks are non-linear — they can start at any status, move to any status, and can be short or long. Soft guardrails (warnings, not blocks) surface edge cases without enforcing progression.</w:t>
      </w:r>
    </w:p>
    <w:p>
      <w:pPr>
        <w:pStyle w:val="Heading2"/>
        <w:spacing w:after="160" w:before="280"/>
      </w:pPr>
      <w:r>
        <w:rPr>
          <w:rFonts w:ascii="Arial" w:cs="Arial" w:eastAsia="Arial" w:hAnsi="Arial"/>
          <w:b/>
          <w:bCs/>
          <w:color w:val="2E75B6"/>
          <w:sz w:val="28"/>
          <w:szCs w:val="28"/>
        </w:rPr>
        <w:t xml:space="preserve">3.2 Clusters</w:t>
      </w:r>
    </w:p>
    <w:p>
      <w:pPr>
        <w:spacing w:after="80" w:before="80"/>
      </w:pPr>
      <w:r>
        <w:rPr>
          <w:rFonts w:ascii="Arial" w:cs="Arial" w:eastAsia="Arial" w:hAnsi="Arial"/>
          <w:sz w:val="24"/>
          <w:szCs w:val="24"/>
        </w:rPr>
        <w:t xml:space="preserve">A Cluster is an optional grouping of related Tasks that share a common knowledge base and instructions. Clusters are a phase one platform concept available across all modules. A task belongs to one cluster or no cluster.</w:t>
      </w:r>
    </w:p>
    <w:p>
      <w:pPr>
        <w:pStyle w:val="Heading2"/>
        <w:spacing w:after="160" w:before="280"/>
      </w:pPr>
      <w:r>
        <w:rPr>
          <w:rFonts w:ascii="Arial" w:cs="Arial" w:eastAsia="Arial" w:hAnsi="Arial"/>
          <w:b/>
          <w:bCs/>
          <w:color w:val="2E75B6"/>
          <w:sz w:val="28"/>
          <w:szCs w:val="28"/>
        </w:rPr>
        <w:t xml:space="preserve">3.3 Threads</w:t>
      </w:r>
    </w:p>
    <w:p>
      <w:pPr>
        <w:spacing w:after="80" w:before="80"/>
      </w:pPr>
      <w:r>
        <w:rPr>
          <w:rFonts w:ascii="Arial" w:cs="Arial" w:eastAsia="Arial" w:hAnsi="Arial"/>
          <w:sz w:val="24"/>
          <w:szCs w:val="24"/>
        </w:rPr>
        <w:t xml:space="preserve">A Thread is a focused unit of work within a task, representing a specific analytical activity. Each thread has its own scoped AI conversation, its own instructions, and contributes findings to the shared task memory. Thread naming: auto-generated from thread type + paper title, user-editable.</w:t>
      </w:r>
    </w:p>
    <w:p>
      <w:pPr>
        <w:pStyle w:val="Heading2"/>
        <w:spacing w:after="160" w:before="280"/>
      </w:pPr>
      <w:r>
        <w:rPr>
          <w:rFonts w:ascii="Arial" w:cs="Arial" w:eastAsia="Arial" w:hAnsi="Arial"/>
          <w:b/>
          <w:bCs/>
          <w:color w:val="2E75B6"/>
          <w:sz w:val="28"/>
          <w:szCs w:val="28"/>
        </w:rPr>
        <w:t xml:space="preserve">3.4 Task Memory</w:t>
      </w:r>
    </w:p>
    <w:p>
      <w:pPr>
        <w:spacing w:after="80" w:before="80"/>
      </w:pPr>
      <w:r>
        <w:rPr>
          <w:rFonts w:ascii="Arial" w:cs="Arial" w:eastAsia="Arial" w:hAnsi="Arial"/>
          <w:sz w:val="24"/>
          <w:szCs w:val="24"/>
        </w:rPr>
        <w:t xml:space="preserve">Task memory is a persistent, visible summary of findings, decisions, and considerations accumulated across all threads within a task. It is displayed to the user as rendered cards grouped by entry type (Findings, Assumptions, Gaps, References) with a timeline toggle showing chronological evolution. Structured entries from automated threads are typed JSON validated via Pydantic before being written to the database. Free-form entries from human-led threads coexist with structured entries.</w:t>
      </w:r>
    </w:p>
    <w:p>
      <w:pPr>
        <w:pStyle w:val="Heading2"/>
        <w:spacing w:after="160" w:before="280"/>
      </w:pPr>
      <w:r>
        <w:rPr>
          <w:rFonts w:ascii="Arial" w:cs="Arial" w:eastAsia="Arial" w:hAnsi="Arial"/>
          <w:b/>
          <w:bCs/>
          <w:color w:val="2E75B6"/>
          <w:sz w:val="28"/>
          <w:szCs w:val="28"/>
        </w:rPr>
        <w:t xml:space="preserve">3.5 Assignment / Submission Hierarchy (Student Paper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Maps to</w:t>
            </w:r>
          </w:p>
        </w:tc>
        <w:tc>
          <w:tcPr>
            <w:tcW w:type="dxa" w:w="5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Holds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Assignment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Cluster (Student Paper Review type)</w:t>
            </w:r>
          </w:p>
        </w:tc>
        <w:tc>
          <w:tcPr>
            <w:tcW w:type="dxa" w:w="5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Shared rubric and grading criteria, assignment brief, shared reference materials, workflow template, aggregate batch status and grade distribution statistics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 (child of Assignment)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Student paper and supplementary documents, all per-student data including grade, review findings, thread outputs, and task memory</w:t>
            </w:r>
          </w:p>
        </w:tc>
      </w:tr>
    </w:tbl>
    <w:p>
      <w:pPr>
        <w:spacing w:after="60" w:before="60"/>
      </w:pPr>
      <w:r>
        <w:t xml:space="preserve"/>
      </w:r>
    </w:p>
    <w:p>
      <w:pPr>
        <w:pStyle w:val="Heading1"/>
        <w:spacing w:after="200" w:before="400"/>
      </w:pPr>
      <w:r>
        <w:rPr>
          <w:rFonts w:ascii="Arial" w:cs="Arial" w:eastAsia="Arial" w:hAnsi="Arial"/>
          <w:b/>
          <w:bCs/>
          <w:color w:val="1F3864"/>
          <w:sz w:val="34"/>
          <w:szCs w:val="34"/>
        </w:rPr>
        <w:t xml:space="preserve">3A. Automation &amp; Workflow Model</w:t>
      </w:r>
    </w:p>
    <w:p>
      <w:pPr>
        <w:pStyle w:val="Heading2"/>
        <w:spacing w:after="160" w:before="280"/>
      </w:pPr>
      <w:r>
        <w:rPr>
          <w:rFonts w:ascii="Arial" w:cs="Arial" w:eastAsia="Arial" w:hAnsi="Arial"/>
          <w:b/>
          <w:bCs/>
          <w:color w:val="2E75B6"/>
          <w:sz w:val="28"/>
          <w:szCs w:val="28"/>
        </w:rPr>
        <w:t xml:space="preserve">3A.1 Overview</w:t>
      </w:r>
    </w:p>
    <w:p>
      <w:pPr>
        <w:spacing w:after="80" w:before="80"/>
      </w:pPr>
      <w:r>
        <w:rPr>
          <w:rFonts w:ascii="Arial" w:cs="Arial" w:eastAsia="Arial" w:hAnsi="Arial"/>
          <w:sz w:val="24"/>
          <w:szCs w:val="24"/>
        </w:rPr>
        <w:t xml:space="preserve">A Workflow is a predefined sequential execution of thread types within a task. Workflows run unattended — the user triggers execution and the platform runs each thread in order, passing enriched task memory forward to each subsequent thread, without requiring the user to be present. The workflow pauses only when intervention is required.</w:t>
      </w:r>
    </w:p>
    <w:p>
      <w:pPr>
        <w:pStyle w:val="Heading2"/>
        <w:spacing w:after="160" w:before="280"/>
      </w:pPr>
      <w:r>
        <w:rPr>
          <w:rFonts w:ascii="Arial" w:cs="Arial" w:eastAsia="Arial" w:hAnsi="Arial"/>
          <w:b/>
          <w:bCs/>
          <w:color w:val="2E75B6"/>
          <w:sz w:val="28"/>
          <w:szCs w:val="28"/>
        </w:rPr>
        <w:t xml:space="preserve">3A.2 Workflow Definition</w:t>
      </w:r>
    </w:p>
    <w:p>
      <w:pPr>
        <w:spacing w:after="80" w:before="80"/>
      </w:pPr>
      <w:r>
        <w:rPr>
          <w:rFonts w:ascii="Arial" w:cs="Arial" w:eastAsia="Arial" w:hAnsi="Arial"/>
          <w:sz w:val="24"/>
          <w:szCs w:val="24"/>
        </w:rPr>
        <w:t xml:space="preserve">Workflows are defined at three levels: master (product team), organisation (org admins), and user (personal templates). Workflow templates are anchored to a module type and can be associated with a cluster. Users can customise a workflow for a specific task instance.</w:t>
      </w:r>
    </w:p>
    <w:p>
      <w:pPr>
        <w:pStyle w:val="Heading2"/>
        <w:spacing w:after="160" w:before="280"/>
      </w:pPr>
      <w:r>
        <w:rPr>
          <w:rFonts w:ascii="Arial" w:cs="Arial" w:eastAsia="Arial" w:hAnsi="Arial"/>
          <w:b/>
          <w:bCs/>
          <w:color w:val="2E75B6"/>
          <w:sz w:val="28"/>
          <w:szCs w:val="28"/>
        </w:rPr>
        <w:t xml:space="preserve">3A.3 Intervention Triggers</w:t>
      </w:r>
    </w:p>
    <w:p>
      <w:pPr>
        <w:spacing w:after="80" w:before="80"/>
      </w:pPr>
      <w:r>
        <w:rPr>
          <w:rFonts w:ascii="Arial" w:cs="Arial" w:eastAsia="Arial" w:hAnsi="Arial"/>
          <w:sz w:val="24"/>
          <w:szCs w:val="24"/>
        </w:rPr>
        <w:t xml:space="preserve">Four AI-detected pause reasons, configurable per thread type: (1) missing document, (2) explicit ambiguity, (3) confidence below threshold, (4) conflicting information. All pauses must present a concrete, answerable question.</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3B. Instruction Studio</w:t>
      </w:r>
    </w:p>
    <w:p>
      <w:pPr>
        <w:pStyle w:val="Heading2"/>
        <w:spacing w:after="160" w:before="280"/>
      </w:pPr>
      <w:r>
        <w:rPr>
          <w:rFonts w:ascii="Arial" w:cs="Arial" w:eastAsia="Arial" w:hAnsi="Arial"/>
          <w:b/>
          <w:bCs/>
          <w:color w:val="2E75B6"/>
          <w:sz w:val="28"/>
          <w:szCs w:val="28"/>
        </w:rPr>
        <w:t xml:space="preserve">3B.1 Overview</w:t>
      </w:r>
    </w:p>
    <w:p>
      <w:pPr>
        <w:spacing w:after="80" w:before="80"/>
      </w:pPr>
      <w:r>
        <w:rPr>
          <w:rFonts w:ascii="Arial" w:cs="Arial" w:eastAsia="Arial" w:hAnsi="Arial"/>
          <w:sz w:val="24"/>
          <w:szCs w:val="24"/>
        </w:rPr>
        <w:t xml:space="preserve">The Instruction Studio is a first-class platform area distinct from the working modules and from settings. It is the dedicated environment for authoring, versioning, testing, and managing instructions across all five levels of the instruction hierarchy. Instruction management is an authoring and quality management workflow — not a settings panel — because master instructions are core product IP that requires proper tooling.</w:t>
      </w:r>
    </w:p>
    <w:p>
      <w:pPr>
        <w:pStyle w:val="Heading2"/>
        <w:spacing w:after="160" w:before="280"/>
      </w:pPr>
      <w:r>
        <w:rPr>
          <w:rFonts w:ascii="Arial" w:cs="Arial" w:eastAsia="Arial" w:hAnsi="Arial"/>
          <w:b/>
          <w:bCs/>
          <w:color w:val="2E75B6"/>
          <w:sz w:val="28"/>
          <w:szCs w:val="28"/>
        </w:rPr>
        <w:t xml:space="preserve">3B.2 MVP — Minimal Settings UI</w:t>
      </w:r>
    </w:p>
    <w:p>
      <w:pPr>
        <w:spacing w:after="80" w:before="80"/>
      </w:pPr>
      <w:r>
        <w:rPr>
          <w:rFonts w:ascii="Arial" w:cs="Arial" w:eastAsia="Arial" w:hAnsi="Arial"/>
          <w:sz w:val="24"/>
          <w:szCs w:val="24"/>
        </w:rPr>
        <w:t xml:space="preserve">The MVP includes a minimal instruction management UI sufficient for authoring and deploying master instructions before internal use:</w:t>
      </w:r>
    </w:p>
    <w:p>
      <w:pPr>
        <w:pStyle w:val="ListParagraph"/>
        <w:numPr>
          <w:ilvl w:val="0"/>
          <w:numId w:val="2"/>
        </w:numPr>
        <w:spacing w:after="40" w:before="40"/>
      </w:pPr>
      <w:r>
        <w:rPr>
          <w:rFonts w:ascii="Arial" w:cs="Arial" w:eastAsia="Arial" w:hAnsi="Arial"/>
          <w:sz w:val="24"/>
          <w:szCs w:val="24"/>
        </w:rPr>
        <w:t xml:space="preserve">Structured instruction editor — guided templates per thread type, not blank text fields</w:t>
      </w:r>
    </w:p>
    <w:p>
      <w:pPr>
        <w:pStyle w:val="ListParagraph"/>
        <w:numPr>
          <w:ilvl w:val="0"/>
          <w:numId w:val="2"/>
        </w:numPr>
        <w:spacing w:after="40" w:before="40"/>
      </w:pPr>
      <w:r>
        <w:rPr>
          <w:rFonts w:ascii="Arial" w:cs="Arial" w:eastAsia="Arial" w:hAnsi="Arial"/>
          <w:sz w:val="24"/>
          <w:szCs w:val="24"/>
        </w:rPr>
        <w:t xml:space="preserve">Version history — all instruction versions retained with timestamps and change notes</w:t>
      </w:r>
    </w:p>
    <w:p>
      <w:pPr>
        <w:pStyle w:val="ListParagraph"/>
        <w:numPr>
          <w:ilvl w:val="0"/>
          <w:numId w:val="2"/>
        </w:numPr>
        <w:spacing w:after="40" w:before="40"/>
      </w:pPr>
      <w:r>
        <w:rPr>
          <w:rFonts w:ascii="Arial" w:cs="Arial" w:eastAsia="Arial" w:hAnsi="Arial"/>
          <w:sz w:val="24"/>
          <w:szCs w:val="24"/>
        </w:rPr>
        <w:t xml:space="preserve">Active version control — promote any version to active for new tasks</w:t>
      </w:r>
    </w:p>
    <w:p>
      <w:pPr>
        <w:pStyle w:val="ListParagraph"/>
        <w:numPr>
          <w:ilvl w:val="0"/>
          <w:numId w:val="2"/>
        </w:numPr>
        <w:spacing w:after="40" w:before="40"/>
      </w:pPr>
      <w:r>
        <w:rPr>
          <w:rFonts w:ascii="Arial" w:cs="Arial" w:eastAsia="Arial" w:hAnsi="Arial"/>
          <w:sz w:val="24"/>
          <w:szCs w:val="24"/>
        </w:rPr>
        <w:t xml:space="preserve">Per-level access — platform level (app admin), org level (org admin), user level (user), cluster level (user)</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3B.3 Phase 1 — Full Instruction Studio</w:t>
      </w:r>
    </w:p>
    <w:p>
      <w:pPr>
        <w:spacing w:after="80" w:before="80"/>
      </w:pPr>
      <w:r>
        <w:rPr>
          <w:rFonts w:ascii="Arial" w:cs="Arial" w:eastAsia="Arial" w:hAnsi="Arial"/>
          <w:sz w:val="24"/>
          <w:szCs w:val="24"/>
        </w:rPr>
        <w:t xml:space="preserve">The full Instruction Studio adds quality evaluation and workflow tooling on top of the MVP foundation:</w:t>
      </w:r>
    </w:p>
    <w:p>
      <w:pPr>
        <w:pStyle w:val="ListParagraph"/>
        <w:numPr>
          <w:ilvl w:val="0"/>
          <w:numId w:val="2"/>
        </w:numPr>
        <w:spacing w:after="40" w:before="40"/>
      </w:pPr>
      <w:r>
        <w:rPr>
          <w:rFonts w:ascii="Arial" w:cs="Arial" w:eastAsia="Arial" w:hAnsi="Arial"/>
          <w:sz w:val="24"/>
          <w:szCs w:val="24"/>
        </w:rPr>
        <w:t xml:space="preserve">Test runner — run any thread type with a specific instruction version against a sample document, without creating a real task</w:t>
      </w:r>
    </w:p>
    <w:p>
      <w:pPr>
        <w:pStyle w:val="ListParagraph"/>
        <w:numPr>
          <w:ilvl w:val="0"/>
          <w:numId w:val="2"/>
        </w:numPr>
        <w:spacing w:after="40" w:before="40"/>
      </w:pPr>
      <w:r>
        <w:rPr>
          <w:rFonts w:ascii="Arial" w:cs="Arial" w:eastAsia="Arial" w:hAnsi="Arial"/>
          <w:sz w:val="24"/>
          <w:szCs w:val="24"/>
        </w:rPr>
        <w:t xml:space="preserve">Output scoring — rate test outputs against the five feedback dimensions (accuracy, depth, relevance, format, usefulness)</w:t>
      </w:r>
    </w:p>
    <w:p>
      <w:pPr>
        <w:pStyle w:val="ListParagraph"/>
        <w:numPr>
          <w:ilvl w:val="0"/>
          <w:numId w:val="2"/>
        </w:numPr>
        <w:spacing w:after="40" w:before="40"/>
      </w:pPr>
      <w:r>
        <w:rPr>
          <w:rFonts w:ascii="Arial" w:cs="Arial" w:eastAsia="Arial" w:hAnsi="Arial"/>
          <w:sz w:val="24"/>
          <w:szCs w:val="24"/>
        </w:rPr>
        <w:t xml:space="preserve">Side-by-side version comparison — diff view between any two instruction versions</w:t>
      </w:r>
    </w:p>
    <w:p>
      <w:pPr>
        <w:pStyle w:val="ListParagraph"/>
        <w:numPr>
          <w:ilvl w:val="0"/>
          <w:numId w:val="2"/>
        </w:numPr>
        <w:spacing w:after="40" w:before="40"/>
      </w:pPr>
      <w:r>
        <w:rPr>
          <w:rFonts w:ascii="Arial" w:cs="Arial" w:eastAsia="Arial" w:hAnsi="Arial"/>
          <w:sz w:val="24"/>
          <w:szCs w:val="24"/>
        </w:rPr>
        <w:t xml:space="preserve">Quality dashboard — aggregated feedback scores per instruction version per thread type</w:t>
      </w:r>
    </w:p>
    <w:p>
      <w:pPr>
        <w:pStyle w:val="ListParagraph"/>
        <w:numPr>
          <w:ilvl w:val="0"/>
          <w:numId w:val="2"/>
        </w:numPr>
        <w:spacing w:after="40" w:before="40"/>
      </w:pPr>
      <w:r>
        <w:rPr>
          <w:rFonts w:ascii="Arial" w:cs="Arial" w:eastAsia="Arial" w:hAnsi="Arial"/>
          <w:sz w:val="24"/>
          <w:szCs w:val="24"/>
        </w:rPr>
        <w:t xml:space="preserve">Rollout controls — grace period management for instruction version updates</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4. Instruction Layer</w:t>
      </w:r>
    </w:p>
    <w:p>
      <w:pPr>
        <w:pStyle w:val="Heading2"/>
        <w:spacing w:after="160" w:before="280"/>
      </w:pPr>
      <w:r>
        <w:rPr>
          <w:rFonts w:ascii="Arial" w:cs="Arial" w:eastAsia="Arial" w:hAnsi="Arial"/>
          <w:b/>
          <w:bCs/>
          <w:color w:val="2E75B6"/>
          <w:sz w:val="28"/>
          <w:szCs w:val="28"/>
        </w:rPr>
        <w:t xml:space="preserve">4.1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41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Platform / Master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Product team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All users and organizations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Best practice instructions for all task and thread types. Core product 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users in the organization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 institutional, and disciplinary enrichment.</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Individual user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All of the user's tasks and threads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Personal preferences, writing style, recurring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tasks within the cluster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Shared context for grouped tasks — rubric, methodology, research area standards.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 / Thread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Specific task or thread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Context specific to this piece of work — publication, topic, special requirements.</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4.2 Master Instructions</w:t>
      </w:r>
    </w:p>
    <w:p>
      <w:pPr>
        <w:spacing w:after="80" w:before="80"/>
      </w:pPr>
      <w:r>
        <w:rPr>
          <w:rFonts w:ascii="Arial" w:cs="Arial" w:eastAsia="Arial" w:hAnsi="Arial"/>
          <w:sz w:val="24"/>
          <w:szCs w:val="24"/>
        </w:rPr>
        <w:t xml:space="preserve">Master instructions are maintained by the product team and cover general behavior, per task type, and per thread type. Updates are versioned and communicated in advance. Existing tasks stay on their instruction version; new tasks use the latest version. Users can opt in during a grace period.</w:t>
      </w:r>
    </w:p>
    <w:p>
      <w:pPr>
        <w:pStyle w:val="Heading2"/>
        <w:spacing w:after="160" w:before="280"/>
      </w:pPr>
      <w:r>
        <w:rPr>
          <w:rFonts w:ascii="Arial" w:cs="Arial" w:eastAsia="Arial" w:hAnsi="Arial"/>
          <w:b/>
          <w:bCs/>
          <w:color w:val="2E75B6"/>
          <w:sz w:val="28"/>
          <w:szCs w:val="28"/>
        </w:rPr>
        <w:t xml:space="preserve">4.3 Activity Library</w:t>
      </w:r>
    </w:p>
    <w:p>
      <w:pPr>
        <w:spacing w:after="80" w:before="80"/>
      </w:pPr>
      <w:r>
        <w:rPr>
          <w:rFonts w:ascii="Arial" w:cs="Arial" w:eastAsia="Arial" w:hAnsi="Arial"/>
          <w:sz w:val="24"/>
          <w:szCs w:val="24"/>
        </w:rPr>
        <w:t xml:space="preserve">Each module has a library of predefined thread types, each with its own instruction template, Q&amp;A structure, automation execution spec, model routing rule, and expected output format. The activity library is maintained at the master level and enriched at the organisation and user levels.</w:t>
      </w:r>
    </w:p>
    <w:p>
      <w:pPr>
        <w:pStyle w:val="Heading2"/>
        <w:spacing w:after="160" w:before="280"/>
      </w:pPr>
      <w:r>
        <w:rPr>
          <w:rFonts w:ascii="Arial" w:cs="Arial" w:eastAsia="Arial" w:hAnsi="Arial"/>
          <w:b/>
          <w:bCs/>
          <w:color w:val="2E75B6"/>
          <w:sz w:val="28"/>
          <w:szCs w:val="28"/>
        </w:rPr>
        <w:t xml:space="preserve">4.4 Model Routing per Thread Type</w:t>
      </w:r>
    </w:p>
    <w:p>
      <w:pPr>
        <w:spacing w:after="80" w:before="80"/>
      </w:pPr>
      <w:r>
        <w:rPr>
          <w:rFonts w:ascii="Arial" w:cs="Arial" w:eastAsia="Arial" w:hAnsi="Arial"/>
          <w:sz w:val="24"/>
          <w:szCs w:val="24"/>
        </w:rPr>
        <w:t xml:space="preserve">Each thread type in the activity library specifies a model routing rule: the default model, the rationale, and the fallback model if budget warning is triggered. Routing rules are defined during instruction drafting. MVP starts with Claude 3.5 Sonnet (AWS Bedrock) for all thread types; rules added incrementally as thread types are validated.</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5. Conversation Model</w:t>
      </w:r>
    </w:p>
    <w:p>
      <w:pPr>
        <w:pStyle w:val="Heading2"/>
        <w:spacing w:after="160" w:before="280"/>
      </w:pPr>
      <w:r>
        <w:rPr>
          <w:rFonts w:ascii="Arial" w:cs="Arial" w:eastAsia="Arial" w:hAnsi="Arial"/>
          <w:b/>
          <w:bCs/>
          <w:color w:val="2E75B6"/>
          <w:sz w:val="28"/>
          <w:szCs w:val="28"/>
        </w:rPr>
        <w:t xml:space="preserve">5.1 Two-Level Conversation</w:t>
      </w:r>
    </w:p>
    <w:p>
      <w:pPr>
        <w:spacing w:after="80" w:before="80"/>
      </w:pPr>
      <w:r>
        <w:rPr>
          <w:rFonts w:ascii="Arial" w:cs="Arial" w:eastAsia="Arial" w:hAnsi="Arial"/>
          <w:sz w:val="24"/>
          <w:szCs w:val="24"/>
        </w:rPr>
        <w:t xml:space="preserve">Conversations operate at thread level (scoped to the specific activity) and task level (task memory carries context from all threads). AI responses are streamed in real time via Server-Sent Events (SSE).</w:t>
      </w:r>
    </w:p>
    <w:p>
      <w:pPr>
        <w:pStyle w:val="Heading2"/>
        <w:spacing w:after="160" w:before="280"/>
      </w:pPr>
      <w:r>
        <w:rPr>
          <w:rFonts w:ascii="Arial" w:cs="Arial" w:eastAsia="Arial" w:hAnsi="Arial"/>
          <w:b/>
          <w:bCs/>
          <w:color w:val="2E75B6"/>
          <w:sz w:val="28"/>
          <w:szCs w:val="28"/>
        </w:rPr>
        <w:t xml:space="preserve">5.2 Structured Q&amp;A Mode</w:t>
      </w:r>
    </w:p>
    <w:p>
      <w:pPr>
        <w:spacing w:after="80" w:before="80"/>
      </w:pPr>
      <w:r>
        <w:rPr>
          <w:rFonts w:ascii="Arial" w:cs="Arial" w:eastAsia="Arial" w:hAnsi="Arial"/>
          <w:sz w:val="24"/>
          <w:szCs w:val="24"/>
        </w:rPr>
        <w:t xml:space="preserve">Thread types can use structured Q&amp;A at thread opening, mid-thread, and thread closing. Guided mode uses structured Q&amp;A (default for new users); expert mode goes straight to free conversation.</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6. Document Handling</w:t>
      </w:r>
    </w:p>
    <w:p>
      <w:pPr>
        <w:pStyle w:val="Heading2"/>
        <w:spacing w:after="160" w:before="280"/>
      </w:pPr>
      <w:r>
        <w:rPr>
          <w:rFonts w:ascii="Arial" w:cs="Arial" w:eastAsia="Arial" w:hAnsi="Arial"/>
          <w:b/>
          <w:bCs/>
          <w:color w:val="2E75B6"/>
          <w:sz w:val="28"/>
          <w:szCs w:val="28"/>
        </w:rPr>
        <w:t xml:space="preserve">6.1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48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Format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MVP</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 1</w:t>
            </w:r>
          </w:p>
        </w:tc>
        <w:tc>
          <w:tcPr>
            <w:tcW w:type="dxa" w:w="4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PDF</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Primary academic paper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 (.docx, .doc)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Reports, submissions, guidelines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Plain text (.txt)</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Draft papers, notes — trivial extraction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Excel (.xlsx) + CSV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Supplementary data, results tables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LaTeX (.tex)</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Very common in STEM fields — processed via Pandoc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PowerPoint (.pptx)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Conference presentations as context documents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BibTeX / RIS</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Reference library imports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ZIP archives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Supplementary materials packages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HTML</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Edge case — web-scraped content</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6.2 Embedded Content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Content type</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MVP</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 1</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Embedded tables</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Extracted as structured data via Unstructured.io — analytically important for results and data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Embedded figures / charts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Claude vision via AWS Bedrock multimodal API in Phase 1</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Embedded images (non-figure)</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Phase 1 — noted as present but not analysed in MVP</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6.3 Four-Level Document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Global Library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User's personal collection across all tasks</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Foundational references, frequently cited papers, own published work, institutional guidelines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Cluster / Assignment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Documents shared across all tasks in a cluster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Shared rubric, common reference materials, research area standards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 Library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Documents for a specific task</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The paper being reviewed, student submission, reference documents for this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Thread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Documents pinned for a specific thread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Essential documents for this analytical activity, loaded more directly into AI context</w:t>
            </w:r>
          </w:p>
        </w:tc>
      </w:tr>
    </w:tbl>
    <w:p>
      <w:pPr>
        <w:spacing w:after="60" w:before="60"/>
      </w:pPr>
      <w:r>
        <w:t xml:space="preserve"/>
      </w:r>
    </w:p>
    <w:p>
      <w:pPr>
        <w:spacing w:after="80" w:before="80"/>
      </w:pPr>
      <w:r>
        <w:rPr>
          <w:rFonts w:ascii="Arial" w:cs="Arial" w:eastAsia="Arial" w:hAnsi="Arial"/>
          <w:sz w:val="24"/>
          <w:szCs w:val="24"/>
        </w:rPr>
        <w:t xml:space="preserve">RAG retrieval priority: thread-pinned documents first, then task library, then cluster library, then global library. Retrieval strategy: top-10 chunks per query, 0.7 relevance threshold, 0.5 fallback retry. Multi-query retrieval and re-ranking added in Phase 1.</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7. Session &amp; Token Management</w:t>
      </w:r>
    </w:p>
    <w:p>
      <w:pPr>
        <w:pStyle w:val="Heading2"/>
        <w:spacing w:after="160" w:before="280"/>
      </w:pPr>
      <w:r>
        <w:rPr>
          <w:rFonts w:ascii="Arial" w:cs="Arial" w:eastAsia="Arial" w:hAnsi="Arial"/>
          <w:b/>
          <w:bCs/>
          <w:color w:val="2E75B6"/>
          <w:sz w:val="28"/>
          <w:szCs w:val="28"/>
        </w:rPr>
        <w:t xml:space="preserve">7.1 Context Window Assembly</w:t>
      </w:r>
    </w:p>
    <w:p>
      <w:pPr>
        <w:spacing w:after="80" w:before="80"/>
      </w:pPr>
      <w:r>
        <w:rPr>
          <w:rFonts w:ascii="Arial" w:cs="Arial" w:eastAsia="Arial" w:hAnsi="Arial"/>
          <w:sz w:val="24"/>
          <w:szCs w:val="24"/>
        </w:rPr>
        <w:t xml:space="preserve">Context is assembled in defined priority order for every AI call: (1) system instructions — all five levels, highest to lowest, cached via Bedrock prompt caching; (2) working language directive; (3) task context; (4) task memory — structured entries first, then free-form; (5) thread-pinned documents; (6) RAG retrieved chunks ranked by relevance; (7) structured Q&amp;A responses; (8) conversation history — recent first, older compacted; (9) current user message.</w:t>
      </w:r>
    </w:p>
    <w:p>
      <w:pPr>
        <w:spacing w:after="80" w:before="80"/>
      </w:pPr>
      <w:r>
        <w:rPr>
          <w:rFonts w:ascii="Arial" w:cs="Arial" w:eastAsia="Arial" w:hAnsi="Arial"/>
          <w:sz w:val="24"/>
          <w:szCs w:val="24"/>
        </w:rPr>
        <w:t xml:space="preserve">Platform, org, and user level instructions are cached via AWS Bedrock prompt caching — reducing token cost on every AI call since these are identical across calls for a given user.</w:t>
      </w:r>
    </w:p>
    <w:p>
      <w:pPr>
        <w:pStyle w:val="Heading2"/>
        <w:spacing w:after="160" w:before="280"/>
      </w:pPr>
      <w:r>
        <w:rPr>
          <w:rFonts w:ascii="Arial" w:cs="Arial" w:eastAsia="Arial" w:hAnsi="Arial"/>
          <w:b/>
          <w:bCs/>
          <w:color w:val="2E75B6"/>
          <w:sz w:val="28"/>
          <w:szCs w:val="28"/>
        </w:rPr>
        <w:t xml:space="preserve">7.2 Token Budgets</w:t>
      </w:r>
    </w:p>
    <w:p>
      <w:pPr>
        <w:spacing w:after="80" w:before="80"/>
      </w:pPr>
      <w:r>
        <w:rPr>
          <w:rFonts w:ascii="Arial" w:cs="Arial" w:eastAsia="Arial" w:hAnsi="Arial"/>
          <w:sz w:val="24"/>
          <w:szCs w:val="24"/>
        </w:rPr>
        <w:t xml:space="preserve">Per-thread token budgets are set by thread type, with a warning at 80% consumed. Estimated budgets: simple analysis threads ~2,000-5,000 tokens input; full paper review threads ~15,000-40,000 tokens input; automated workflow threads ~10,000-30,000 tokens input; synthesis/report threads ~5,000-15,000 tokens input.</w:t>
      </w:r>
    </w:p>
    <w:p>
      <w:pPr>
        <w:pStyle w:val="Heading2"/>
        <w:spacing w:after="160" w:before="280"/>
      </w:pPr>
      <w:r>
        <w:rPr>
          <w:rFonts w:ascii="Arial" w:cs="Arial" w:eastAsia="Arial" w:hAnsi="Arial"/>
          <w:b/>
          <w:bCs/>
          <w:color w:val="2E75B6"/>
          <w:sz w:val="28"/>
          <w:szCs w:val="28"/>
        </w:rPr>
        <w:t xml:space="preserve">7.3 Language Handling</w:t>
      </w:r>
    </w:p>
    <w:p>
      <w:pPr>
        <w:spacing w:after="80" w:before="80"/>
      </w:pPr>
      <w:r>
        <w:rPr>
          <w:rFonts w:ascii="Arial" w:cs="Arial" w:eastAsia="Arial" w:hAnsi="Arial"/>
          <w:sz w:val="24"/>
          <w:szCs w:val="24"/>
        </w:rPr>
        <w:t xml:space="preserve">Working language governs all AI responses — the language of AI output is always the working language regardless of document language or the language the user types in. Working language is an explicit setting, not inferred from input. This ensures deterministic, predictable behavior across mixed-language content.</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8. AI Model Architecture</w:t>
      </w:r>
    </w:p>
    <w:p>
      <w:pPr>
        <w:pStyle w:val="Heading2"/>
        <w:spacing w:after="160" w:before="280"/>
      </w:pPr>
      <w:r>
        <w:rPr>
          <w:rFonts w:ascii="Arial" w:cs="Arial" w:eastAsia="Arial" w:hAnsi="Arial"/>
          <w:b/>
          <w:bCs/>
          <w:color w:val="2E75B6"/>
          <w:sz w:val="28"/>
          <w:szCs w:val="28"/>
        </w:rPr>
        <w:t xml:space="preserve">8.1 AWS Bedrock</w:t>
      </w:r>
    </w:p>
    <w:p>
      <w:pPr>
        <w:spacing w:after="80" w:before="80"/>
      </w:pPr>
      <w:r>
        <w:rPr>
          <w:rFonts w:ascii="Arial" w:cs="Arial" w:eastAsia="Arial" w:hAnsi="Arial"/>
          <w:sz w:val="24"/>
          <w:szCs w:val="24"/>
        </w:rPr>
        <w:t xml:space="preserve">All AI access is via AWS Bedrock — Anthropic's multi-provider AI gateway. Bedrock provides: unified API across all providers; AWS IAM authentication consistent with the rest of the infrastructure; consolidated billing and cost visibility in AWS; CloudWatch integration for AI call logging; data residency within chosen AWS region; private networking via VPC endpoints.</w:t>
      </w:r>
    </w:p>
    <w:p>
      <w:pPr>
        <w:pStyle w:val="Heading2"/>
        <w:spacing w:after="160" w:before="280"/>
      </w:pPr>
      <w:r>
        <w:rPr>
          <w:rFonts w:ascii="Arial" w:cs="Arial" w:eastAsia="Arial" w:hAnsi="Arial"/>
          <w:b/>
          <w:bCs/>
          <w:color w:val="2E75B6"/>
          <w:sz w:val="28"/>
          <w:szCs w:val="28"/>
        </w:rPr>
        <w:t xml:space="preserve">8.2 Model Routing</w:t>
      </w:r>
    </w:p>
    <w:p>
      <w:pPr>
        <w:spacing w:after="80" w:before="80"/>
      </w:pPr>
      <w:r>
        <w:rPr>
          <w:rFonts w:ascii="Arial" w:cs="Arial" w:eastAsia="Arial" w:hAnsi="Arial"/>
          <w:sz w:val="24"/>
          <w:szCs w:val="24"/>
        </w:rPr>
        <w:t xml:space="preserve">The AI provider abstraction layer implements rule-based model routing per thread type. Each thread type in the activity library specifies its default model, rationale, and fallback. MVP starts with Claude 3.5 Sonnet (Anthropic via Bedrock) for all threads. Routing rules are added incrementally per thread type during instruction drafting, optimising for cost without sacrificing quality.</w:t>
      </w:r>
    </w:p>
    <w:p>
      <w:pPr>
        <w:pStyle w:val="Heading2"/>
        <w:spacing w:after="160" w:before="280"/>
      </w:pPr>
      <w:r>
        <w:rPr>
          <w:rFonts w:ascii="Arial" w:cs="Arial" w:eastAsia="Arial" w:hAnsi="Arial"/>
          <w:b/>
          <w:bCs/>
          <w:color w:val="2E75B6"/>
          <w:sz w:val="28"/>
          <w:szCs w:val="28"/>
        </w:rPr>
        <w:t xml:space="preserve">8.3 Available Models (AWS Bedrock)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000"/>
        <w:gridCol w:w="150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Models</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Strengths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Phase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Anthropic</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Claude 3.5 Haiku, Claude 3.5 Sonnet, Claude 3.7 Sonnet, Claude 3 Opus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Complex reasoning, long context, instruction following — primary provider</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MVP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Llama 3.1 8B, 70B, 405B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source, cost-effective, structured tasks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 routing</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Mistral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Mistral 7B, Mixtral 8x7B, Mistral Large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Fast, cost-effective, focused analytical tasks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Phase 1 routing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Amazon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Nova Micro, Nova Lite, Nova Pro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cheap, lightweight interactions, structured output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 routing</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Cohere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Command R, Command 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RAG-specific tasks — retrieval and summarisation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Phase 1 routing</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8.4 AI-Based Dynamic Routing (Phase 1)</w:t>
      </w:r>
    </w:p>
    <w:p>
      <w:pPr>
        <w:spacing w:after="80" w:before="80"/>
      </w:pPr>
      <w:r>
        <w:rPr>
          <w:rFonts w:ascii="Arial" w:cs="Arial" w:eastAsia="Arial" w:hAnsi="Arial"/>
          <w:sz w:val="24"/>
          <w:szCs w:val="24"/>
        </w:rPr>
        <w:t xml:space="preserve">Phase 1 replaces rule-based routing with AI-based dynamic routing — a lightweight model classifies each incoming request and selects the optimal model based on complexity, quality requirements, and cost. Expected cost reduction: 60-75% vs single-model approach at scale.</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9. Output &amp; Export</w:t>
      </w:r>
    </w:p>
    <w:p>
      <w:pPr>
        <w:pStyle w:val="Heading2"/>
        <w:spacing w:after="160" w:before="280"/>
      </w:pPr>
      <w:r>
        <w:rPr>
          <w:rFonts w:ascii="Arial" w:cs="Arial" w:eastAsia="Arial" w:hAnsi="Arial"/>
          <w:b/>
          <w:bCs/>
          <w:color w:val="2E75B6"/>
          <w:sz w:val="28"/>
          <w:szCs w:val="28"/>
        </w:rPr>
        <w:t xml:space="preserve">9.1 Two-Level Output</w:t>
      </w:r>
    </w:p>
    <w:p>
      <w:pPr>
        <w:spacing w:after="80" w:before="80"/>
      </w:pPr>
      <w:r>
        <w:rPr>
          <w:rFonts w:ascii="Arial" w:cs="Arial" w:eastAsia="Arial" w:hAnsi="Arial"/>
          <w:sz w:val="24"/>
          <w:szCs w:val="24"/>
        </w:rPr>
        <w:t xml:space="preserve">Thread output contains structured findings from a specific thread's analytical work. Task report is a consolidated report assembled from thread outputs, structured according to the module's report template.</w:t>
      </w:r>
    </w:p>
    <w:p>
      <w:pPr>
        <w:pStyle w:val="Heading2"/>
        <w:spacing w:after="160" w:before="280"/>
      </w:pPr>
      <w:r>
        <w:rPr>
          <w:rFonts w:ascii="Arial" w:cs="Arial" w:eastAsia="Arial" w:hAnsi="Arial"/>
          <w:b/>
          <w:bCs/>
          <w:color w:val="2E75B6"/>
          <w:sz w:val="28"/>
          <w:szCs w:val="28"/>
        </w:rPr>
        <w:t xml:space="preserve">9.2 Phase One — Text Output</w:t>
      </w:r>
    </w:p>
    <w:p>
      <w:pPr>
        <w:spacing w:after="80" w:before="80"/>
      </w:pPr>
      <w:r>
        <w:rPr>
          <w:rFonts w:ascii="Arial" w:cs="Arial" w:eastAsia="Arial" w:hAnsi="Arial"/>
          <w:sz w:val="24"/>
          <w:szCs w:val="24"/>
        </w:rPr>
        <w:t xml:space="preserve">AI produces output as markdown, rendered cleanly in the application. The user can fully edit the markdown report inside the tool before exporting — full editing freedom, no constraints. Export to markdown or Word document. Batch export of multiple reports as zip.</w:t>
      </w:r>
    </w:p>
    <w:p>
      <w:pPr>
        <w:pStyle w:val="Heading2"/>
        <w:spacing w:after="160" w:before="280"/>
      </w:pPr>
      <w:r>
        <w:rPr>
          <w:rFonts w:ascii="Arial" w:cs="Arial" w:eastAsia="Arial" w:hAnsi="Arial"/>
          <w:b/>
          <w:bCs/>
          <w:color w:val="2E75B6"/>
          <w:sz w:val="28"/>
          <w:szCs w:val="28"/>
        </w:rPr>
        <w:t xml:space="preserve">9.3 Task Memory Display</w:t>
      </w:r>
    </w:p>
    <w:p>
      <w:pPr>
        <w:spacing w:after="80" w:before="80"/>
      </w:pPr>
      <w:r>
        <w:rPr>
          <w:rFonts w:ascii="Arial" w:cs="Arial" w:eastAsia="Arial" w:hAnsi="Arial"/>
          <w:sz w:val="24"/>
          <w:szCs w:val="24"/>
        </w:rPr>
        <w:t xml:space="preserve">Task memory entries are displayed as rendered cards grouped by entry type: Findings, Assumptions, Gaps, References. A timeline toggle switches to chronological view showing how analysis evolved across threads. Each card shows entry type, content, confidence level, source thread, and source document reference. Raw JSON is never shown to users.</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10. User &amp; Organization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Capabilities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App Admin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Entire platform</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Manages all organizations, master instructions, Instruction Studio, model availability, platform health, full audit log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Their organization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Manages users, budget pool, storage, org-level instructions in Instruction Studio, org audit log. Cannot see task content.</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User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Own workspace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Full access to own tasks, threads, clusters, and personal instruction configuration in Instruction Studio.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Delegatee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Assigned threads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 only to specifically delegated threads within a task.</w:t>
            </w:r>
          </w:p>
        </w:tc>
      </w:tr>
    </w:tbl>
    <w:p>
      <w:pPr>
        <w:spacing w:after="60" w:before="60"/>
      </w:pPr>
      <w:r>
        <w:t xml:space="preserve"/>
      </w:r>
    </w:p>
    <w:p>
      <w:pPr>
        <w:pStyle w:val="Heading1"/>
        <w:spacing w:after="200" w:before="400"/>
      </w:pPr>
      <w:r>
        <w:rPr>
          <w:rFonts w:ascii="Arial" w:cs="Arial" w:eastAsia="Arial" w:hAnsi="Arial"/>
          <w:b/>
          <w:bCs/>
          <w:color w:val="1F3864"/>
          <w:sz w:val="34"/>
          <w:szCs w:val="34"/>
        </w:rPr>
        <w:t xml:space="preserve">11. AI Model Flexibility &amp; Billing</w:t>
      </w:r>
    </w:p>
    <w:p>
      <w:pPr>
        <w:pStyle w:val="Heading2"/>
        <w:spacing w:after="160" w:before="280"/>
      </w:pPr>
      <w:r>
        <w:rPr>
          <w:rFonts w:ascii="Arial" w:cs="Arial" w:eastAsia="Arial" w:hAnsi="Arial"/>
          <w:b/>
          <w:bCs/>
          <w:color w:val="2E75B6"/>
          <w:sz w:val="28"/>
          <w:szCs w:val="28"/>
        </w:rPr>
        <w:t xml:space="preserve">11.1 Model Abstraction Layer</w:t>
      </w:r>
    </w:p>
    <w:p>
      <w:pPr>
        <w:spacing w:after="80" w:before="80"/>
      </w:pPr>
      <w:r>
        <w:rPr>
          <w:rFonts w:ascii="Arial" w:cs="Arial" w:eastAsia="Arial" w:hAnsi="Arial"/>
          <w:sz w:val="24"/>
          <w:szCs w:val="24"/>
        </w:rPr>
        <w:t xml:space="preserve">The platform is built with an AI provider abstraction layer from day one, implemented as a routing layer over AWS Bedrock. Phase one launches with Anthropic Claude as the sole active provider. Phase one routing rules are added incrementally per thread type. Phase two activates AI-based dynamic routing across all available Bedrock providers.</w:t>
      </w:r>
    </w:p>
    <w:p>
      <w:pPr>
        <w:pStyle w:val="Heading2"/>
        <w:spacing w:after="160" w:before="280"/>
      </w:pPr>
      <w:r>
        <w:rPr>
          <w:rFonts w:ascii="Arial" w:cs="Arial" w:eastAsia="Arial" w:hAnsi="Arial"/>
          <w:b/>
          <w:bCs/>
          <w:color w:val="2E75B6"/>
          <w:sz w:val="28"/>
          <w:szCs w:val="28"/>
        </w:rPr>
        <w:t xml:space="preserve">11.2 Billing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AI Cost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Platform Cost</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Individual Managed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Included in subscription cap</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Monthly flat fee</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Individual researchers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Organization Managed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Pass-through billed to 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 seat fee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Organizations wanting managed AI</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Organization BYOK</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Direct to their AI provider (via Bedrock)</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Per seat fee only</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Institutions with enterprise AI agreements</w:t>
            </w:r>
          </w:p>
        </w:tc>
      </w:tr>
    </w:tbl>
    <w:p>
      <w:pPr>
        <w:spacing w:after="60" w:before="60"/>
      </w:pPr>
      <w:r>
        <w:t xml:space="preserve"/>
      </w:r>
    </w:p>
    <w:p>
      <w:pPr>
        <w:pStyle w:val="Heading1"/>
        <w:spacing w:after="200" w:before="400"/>
      </w:pPr>
      <w:r>
        <w:rPr>
          <w:rFonts w:ascii="Arial" w:cs="Arial" w:eastAsia="Arial" w:hAnsi="Arial"/>
          <w:b/>
          <w:bCs/>
          <w:color w:val="1F3864"/>
          <w:sz w:val="34"/>
          <w:szCs w:val="34"/>
        </w:rPr>
        <w:t xml:space="preserve">12-26. Platform Features</w:t>
      </w:r>
    </w:p>
    <w:p>
      <w:pPr>
        <w:spacing w:after="80" w:before="80"/>
      </w:pPr>
      <w:r>
        <w:rPr>
          <w:rFonts w:ascii="Arial" w:cs="Arial" w:eastAsia="Arial" w:hAnsi="Arial"/>
          <w:sz w:val="24"/>
          <w:szCs w:val="24"/>
        </w:rPr>
        <w:t xml:space="preserve">Storage management, dashboard, notifications, security, audit log, search, analytics, onboarding, integrations, localization, mobile, API access, accessibility, versioning, and pricing are as specified in v1.1 with no changes. Refer to v1.1 for full detail on these sections.</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27. Phase Summary</w:t>
      </w:r>
    </w:p>
    <w:p>
      <w:pPr>
        <w:pStyle w:val="Heading2"/>
        <w:spacing w:after="160" w:before="280"/>
      </w:pPr>
      <w:r>
        <w:rPr>
          <w:rFonts w:ascii="Arial" w:cs="Arial" w:eastAsia="Arial" w:hAnsi="Arial"/>
          <w:b/>
          <w:bCs/>
          <w:color w:val="2E75B6"/>
          <w:sz w:val="28"/>
          <w:szCs w:val="28"/>
        </w:rPr>
        <w:t xml:space="preserve">27.1 MVP (Internal)</w:t>
      </w:r>
    </w:p>
    <w:p>
      <w:pPr>
        <w:spacing w:after="80" w:before="80"/>
      </w:pPr>
      <w:r>
        <w:rPr>
          <w:rFonts w:ascii="Arial" w:cs="Arial" w:eastAsia="Arial" w:hAnsi="Arial"/>
          <w:sz w:val="24"/>
          <w:szCs w:val="24"/>
        </w:rPr>
        <w:t xml:space="preserve">Two modules (External Paper Review + Student Paper Review), task/thread/workflow model, clusters, Assignment/Submission hierarchy, five-level instruction layer, Instruction Studio minimal UI, AWS Bedrock with Claude 3.5 Sonnet, rule-based model routing (Claude only initially), RAG with four-level library, document support (PDF, Word, TXT, Excel/CSV, LaTeX), table extraction, SSE streaming, task memory with grouped/timeline display, full markdown report editing, Word export, English and Hebrew, NextAuth.js auth, structured JSON logging, AWS infrastructure via SST.</w:t>
      </w:r>
    </w:p>
    <w:p>
      <w:pPr>
        <w:pStyle w:val="Heading2"/>
        <w:spacing w:after="160" w:before="280"/>
      </w:pPr>
      <w:r>
        <w:rPr>
          <w:rFonts w:ascii="Arial" w:cs="Arial" w:eastAsia="Arial" w:hAnsi="Arial"/>
          <w:b/>
          <w:bCs/>
          <w:color w:val="2E75B6"/>
          <w:sz w:val="28"/>
          <w:szCs w:val="28"/>
        </w:rPr>
        <w:t xml:space="preserve">27.2 Phase 1 (External launch)</w:t>
      </w:r>
    </w:p>
    <w:p>
      <w:pPr>
        <w:spacing w:after="80" w:before="80"/>
      </w:pPr>
      <w:r>
        <w:rPr>
          <w:rFonts w:ascii="Arial" w:cs="Arial" w:eastAsia="Arial" w:hAnsi="Arial"/>
          <w:sz w:val="24"/>
          <w:szCs w:val="24"/>
        </w:rPr>
        <w:t xml:space="preserve">All three modules, full Instruction Studio (test runner, scoring, version comparison), org hierarchy and admin, subscription billing, GDPR, WCAG 2.1 AA, staging environment, delegation UI, full vision for embedded images (Claude multimodal via Bedrock), AI-based dynamic model routing across Bedrock providers, expanded document formats (PowerPoint, BibTeX, ZIP, HTML), multi-query RAG + re-ranking, CrossRef + calendar integrations, full analytics.</w:t>
      </w:r>
    </w:p>
    <w:p>
      <w:pPr>
        <w:pStyle w:val="Heading2"/>
        <w:spacing w:after="160" w:before="280"/>
      </w:pPr>
      <w:r>
        <w:rPr>
          <w:rFonts w:ascii="Arial" w:cs="Arial" w:eastAsia="Arial" w:hAnsi="Arial"/>
          <w:b/>
          <w:bCs/>
          <w:color w:val="2E75B6"/>
          <w:sz w:val="28"/>
          <w:szCs w:val="28"/>
        </w:rPr>
        <w:t xml:space="preserve">27.3 Phase 2 (Enterprise)</w:t>
      </w:r>
    </w:p>
    <w:p>
      <w:pPr>
        <w:spacing w:after="80" w:before="80"/>
      </w:pPr>
      <w:r>
        <w:rPr>
          <w:rFonts w:ascii="Arial" w:cs="Arial" w:eastAsia="Arial" w:hAnsi="Arial"/>
          <w:sz w:val="24"/>
          <w:szCs w:val="24"/>
        </w:rPr>
        <w:t xml:space="preserve">SSO, encryption at rest, geographic data residency, external API, managed report objects, reference manager integrations, cloud storage integrations, academic database integrations, plagiarism checking, conversation branching, full semantic search, benchmarking analytics, native mobile app.</w:t>
      </w:r>
    </w:p>
    <w:p>
      <w:pPr>
        <w:spacing w:after="60" w:before="60"/>
      </w:pPr>
      <w:r>
        <w:t xml:space="preserve"/>
      </w:r>
    </w:p>
    <w:p>
      <w:pPr>
        <w:pStyle w:val="Heading1"/>
        <w:spacing w:after="200" w:before="400"/>
      </w:pPr>
      <w:r>
        <w:rPr>
          <w:rFonts w:ascii="Arial" w:cs="Arial" w:eastAsia="Arial" w:hAnsi="Arial"/>
          <w:b/>
          <w:bCs/>
          <w:color w:val="1F3864"/>
          <w:sz w:val="34"/>
          <w:szCs w:val="34"/>
        </w:rPr>
        <w:t xml:space="preserve">Appendix —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The primary unit of work. A flexible container holding all documents, context, threads, and memory related to one piece of academic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Cluster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 optional grouping of related Tasks sharing a common knowledge base, shared instructions, and an aggregate status view.</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Assignment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 Cluster type specific to Student Paper Review. Groups all submissions for a single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Submission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Task that is a member of an Assignment cluster. Holds all per-student data.</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Thread</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 focused unit of work within a task. Each thread is a scoped AI conversation for a specific analytical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predefined sequential execution of thread types within a task. Runs unattended, pausing only for intervention triggers.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Task Memory</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 persistent summary of findings accumulated across all threads. Displayed as grouped rendered cards with timeline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Studio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first-class platform area for authoring, versioning, testing, and managing instructions at all five levels. Distinct from modules and settings.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Intervention Trigger</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 condition pausing an automated workflow. Four types: missing document, explicit ambiguity, confidence below threshold, conflicting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Instruction 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Five-level hierarchy: platform, organization, user, cluster, task/thread.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Activity Library</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Predefined thread types per module with instruction template, automation execution spec, model routing rule, Q&amp;A structure, and output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Routing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Rule-based or AI-based selection of the optimal AI model per thread type, balancing quality and cost via AWS Bedrock.</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Automation Execution Spec</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Self-contained process definition for a thread type in automated workflow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Retrieval Augmented Generation — indexing documents and retrieving relevant chunks for AI context.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BYOK</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Bring Your Own Key — org uses their own AI provider API key via Bedrock.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Working Language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language of AI responses for a task or thread. Always deterministic — governs output regardless of document or input language.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SSE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2"/>
                <w:szCs w:val="22"/>
              </w:rPr>
              <w:t xml:space="preserve">Server-Sent Events — real-time AI response streaming and workflow status updates pushed from server to client.</w:t>
            </w:r>
          </w:p>
        </w:tc>
      </w:tr>
    </w:tbl>
    <w:p>
      <w:pPr>
        <w:spacing w:after="60" w:before="60"/>
      </w:pPr>
      <w:r>
        <w:t xml:space="preserve"/>
      </w:r>
    </w:p>
    <w:p>
      <w:pPr>
        <w:spacing w:after="0" w:before="400"/>
        <w:jc w:val="center"/>
      </w:pPr>
      <w:r>
        <w:rPr>
          <w:rFonts w:ascii="Arial" w:cs="Arial" w:eastAsia="Arial" w:hAnsi="Arial"/>
          <w:i/>
          <w:iCs/>
          <w:color w:val="666666"/>
          <w:sz w:val="20"/>
          <w:szCs w:val="20"/>
        </w:rPr>
        <w:t xml:space="preserve">Version 1.2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2026-05-28T22:22:33.184Z</dcterms:created>
  <dcterms:modified xsi:type="dcterms:W3CDTF">2026-05-28T22:22:33.184Z</dcterms:modified>
</cp:coreProperties>
</file>

<file path=docProps/custom.xml><?xml version="1.0" encoding="utf-8"?>
<Properties xmlns="http://schemas.openxmlformats.org/officeDocument/2006/custom-properties" xmlns:vt="http://schemas.openxmlformats.org/officeDocument/2006/docPropsVTypes"/>
</file>