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6126480" cy="2116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6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  <w:jc w:val="center"/>
      </w:pPr>
      <w:r>
        <w:rPr>
          <w:rFonts w:ascii="Microsoft YaHei" w:hAnsi="Microsoft YaHei" w:eastAsia="Microsoft YaHei"/>
          <w:b/>
          <w:color w:val="19274B"/>
          <w:sz w:val="48"/>
        </w:rPr>
        <w:t>差旅与报销制度</w:t>
      </w:r>
    </w:p>
    <w:p>
      <w:pPr>
        <w:jc w:val="center"/>
      </w:pPr>
      <w:r>
        <w:rPr>
          <w:rFonts w:ascii="Microsoft YaHei" w:hAnsi="Microsoft YaHei" w:eastAsia="Microsoft YaHei"/>
          <w:color w:val="697691"/>
          <w:sz w:val="22"/>
        </w:rPr>
        <w:t>审批、标准、单据和付款的一站式参考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EEF1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9274B"/>
                <w:sz w:val="18"/>
              </w:rPr>
              <w:t>适用范围</w:t>
              <w:br/>
              <w:t>全体员工</w:t>
            </w:r>
          </w:p>
        </w:tc>
        <w:tc>
          <w:tcPr>
            <w:tcW w:type="dxa" w:w="3216"/>
            <w:shd w:fill="EEF1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9274B"/>
                <w:sz w:val="18"/>
              </w:rPr>
              <w:t>提交时限</w:t>
              <w:br/>
              <w:t>返程后 10 个工作日</w:t>
            </w:r>
          </w:p>
        </w:tc>
        <w:tc>
          <w:tcPr>
            <w:tcW w:type="dxa" w:w="3216"/>
            <w:shd w:fill="EEF1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9274B"/>
                <w:sz w:val="18"/>
              </w:rPr>
              <w:t>咨询渠道</w:t>
              <w:br/>
              <w:t>财务共享中心</w:t>
            </w:r>
          </w:p>
        </w:tc>
      </w:tr>
    </w:tbl>
    <w:p>
      <w:pPr>
        <w:pStyle w:val="Heading1"/>
      </w:pPr>
      <w:r>
        <w:t>适用范围与原则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本制度适用于因公发生的国内出差、交通、住宿、餐饮和必要业务招待费用。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员工应坚持真实、必要、节约原则，不得拆分费用、重复报销或使用与业务无关的票据。</w:t>
      </w:r>
    </w:p>
    <w:p>
      <w:pPr>
        <w:pStyle w:val="Heading1"/>
      </w:pPr>
      <w:r>
        <w:t>出差申请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至少提前 3 个工作日提交申请，写明目的地、事由、日期、预算和同行人。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未经审批产生的费用原则上不予报销；紧急出差应在返程后 2 个工作日内补充说明。</w:t>
      </w:r>
    </w:p>
    <w:p>
      <w:pPr>
        <w:pStyle w:val="Heading1"/>
      </w:pPr>
      <w:r>
        <w:t>交通与住宿标准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国内交通优先高铁二等座或经济舱；市内交通选择公共交通或合规网约车。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一线城市住宿上限为 600 元/晚，其他城市 450 元/晚；会议统一住宿按会议标准执行。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确需升级标准时，必须在预订前取得部门负责人书面批准。</w:t>
      </w:r>
    </w:p>
    <w:p>
      <w:pPr>
        <w:pStyle w:val="Heading1"/>
      </w:pPr>
      <w:r>
        <w:t>补贴与业务招待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差旅餐饮补贴为每人每天 100 元，客户或会议承担餐饮的日期不重复领取。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业务招待应事前审批，报销时填写参与人、单位、业务事由和人均金额。</w:t>
      </w:r>
    </w:p>
    <w:p>
      <w:pPr>
        <w:pStyle w:val="Heading1"/>
      </w:pPr>
      <w:r>
        <w:t>报销材料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提交差旅审批单、合法发票、消费明细、支付凭证和必要的行程证明。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电子发票必须上传原始 PDF；抬头和税号错误的发票应先更正。</w:t>
      </w:r>
    </w:p>
    <w:p>
      <w:pPr>
        <w:pStyle w:val="Heading1"/>
      </w:pPr>
      <w:r>
        <w:t>时间与付款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返程后 10 个工作日内提交报销，逾期需附原因并由部门负责人确认。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审批完成且材料齐全后，财务通常在 5 个工作日内付款。</w:t>
      </w:r>
    </w:p>
    <w:p>
      <w:pPr>
        <w:pStyle w:val="Heading1"/>
      </w:pPr>
      <w:r>
        <w:t>禁止事项与咨询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严禁虚假行程、虚开发票、重复报销、私费公报或替他人报销。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</w:rPr>
        <w:t>对标准或单据有疑问时，应在消费前咨询财务共享中心。</w:t>
      </w:r>
    </w:p>
    <w:p>
      <w:pPr>
        <w:spacing w:before="240"/>
      </w:pPr>
      <w:r>
        <w:rPr>
          <w:rFonts w:ascii="Microsoft YaHei" w:hAnsi="Microsoft YaHei" w:eastAsia="Microsoft YaHei"/>
          <w:i/>
          <w:color w:val="697691"/>
          <w:sz w:val="18"/>
        </w:rPr>
        <w:t>提示：本资料用于知识库检索测试；若与最新公告冲突，以公司正式发布版本为准。</w:t>
      </w:r>
    </w:p>
    <w:sectPr w:rsidR="00FC693F" w:rsidRPr="0006063C" w:rsidSect="00034616">
      <w:footerReference w:type="default" r:id="rId9"/>
      <w:pgSz w:w="12240" w:h="15840"/>
      <w:pgMar w:top="1152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97691"/>
        <w:sz w:val="16"/>
      </w:rPr>
      <w:t>小苏企业知识库 · 内部资料 ·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4A5DE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A5DE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9274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