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差旅与报销制度</w:t>
      </w:r>
    </w:p>
    <w:p>
      <w:pPr>
        <w:pStyle w:val="Heading2"/>
      </w:pPr>
      <w:r>
        <w:t>出差申请</w:t>
      </w:r>
    </w:p>
    <w:p>
      <w:r>
        <w:t>出差人员应至少提前 3 个工作日提交申请，写明目的地、事由、日期和预算。未经审批产生的费用原则上不予报销。</w:t>
      </w:r>
    </w:p>
    <w:p>
      <w:pPr>
        <w:pStyle w:val="Heading2"/>
      </w:pPr>
      <w:r>
        <w:t>交通标准</w:t>
      </w:r>
    </w:p>
    <w:p>
      <w:r>
        <w:t>国内出差优先选择高铁二等座或经济舱。确因时间紧急升级交通标准时，必须附部门负责人书面说明。</w:t>
      </w:r>
    </w:p>
    <w:p>
      <w:pPr>
        <w:pStyle w:val="Heading2"/>
      </w:pPr>
      <w:r>
        <w:t>住宿标准</w:t>
      </w:r>
    </w:p>
    <w:p>
      <w:r>
        <w:t>一线城市住宿上限为每晚 600 元，其他城市为每晚 450 元。两人同行且条件允许时优先安排双人间。</w:t>
      </w:r>
    </w:p>
    <w:p>
      <w:pPr>
        <w:pStyle w:val="Heading2"/>
      </w:pPr>
      <w:r>
        <w:t>报销材料</w:t>
      </w:r>
    </w:p>
    <w:p>
      <w:r>
        <w:t>报销需要差旅审批单、交通和住宿发票、行程单、支付凭证。出差结束后 10 个工作日内提交，超标费用须附说明。</w:t>
      </w:r>
    </w:p>
    <w:p>
      <w:pPr>
        <w:pStyle w:val="Heading2"/>
      </w:pPr>
      <w:r>
        <w:t>差旅补贴</w:t>
      </w:r>
    </w:p>
    <w:p>
      <w:r>
        <w:t>出差期间按自然日发放餐饮补贴，每人每天 100 元。由客户承担餐饮的日期不重复领取补贴。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