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400"/>
              <w:left w:type="dxa" w:w="400"/>
              <w:bottom w:type="dxa" w:w="400"/>
              <w:right w:type="dxa" w:w="400"/>
            </w:tcMar>
          </w:tcPr>
          <w:p>
            <w:pPr>
              <w:spacing w:after="80" w:before="0"/>
              <w:jc w:val="center"/>
            </w:pPr>
            <w:r>
              <w:rPr>
                <w:rFonts w:ascii="Arial" w:cs="Arial" w:eastAsia="Arial" w:hAnsi="Arial"/>
                <w:b/>
                <w:bCs/>
                <w:i w:val="false"/>
                <w:iCs w:val="false"/>
                <w:color w:val="FFFFFF"/>
                <w:sz w:val="96"/>
                <w:szCs w:val="96"/>
              </w:rPr>
              <w:t xml:space="preserve">OccasionPro</w:t>
            </w:r>
          </w:p>
          <w:p>
            <w:pPr>
              <w:spacing w:after="80" w:before="0"/>
              <w:jc w:val="center"/>
            </w:pPr>
            <w:r>
              <w:rPr>
                <w:rFonts w:ascii="Arial" w:cs="Arial" w:eastAsia="Arial" w:hAnsi="Arial"/>
                <w:b w:val="false"/>
                <w:bCs w:val="false"/>
                <w:i w:val="false"/>
                <w:iCs w:val="false"/>
                <w:color w:val="06B6D4"/>
                <w:sz w:val="32"/>
                <w:szCs w:val="32"/>
              </w:rPr>
              <w:t xml:space="preserve">Enterprise Event Operating System</w:t>
            </w:r>
          </w:p>
          <w:p>
            <w:pPr>
              <w:spacing w:after="0" w:before="0"/>
              <w:jc w:val="center"/>
            </w:pPr>
            <w:r>
              <w:rPr>
                <w:rFonts w:ascii="Arial" w:cs="Arial" w:eastAsia="Arial" w:hAnsi="Arial"/>
                <w:b w:val="false"/>
                <w:bCs w:val="false"/>
                <w:i/>
                <w:iCs/>
                <w:color w:val="B0BEC5"/>
                <w:sz w:val="24"/>
                <w:szCs w:val="24"/>
              </w:rPr>
              <w:t xml:space="preserve">The AI-Native Platform Powering the Future of Events</w:t>
            </w:r>
          </w:p>
        </w:tc>
      </w:tr>
    </w:tbl>
    <w:p>
      <w:pPr>
        <w:spacing w:after="320" w:before="0"/>
      </w:pPr>
      <w:r>
        <w:t xml:space="preserve"/>
      </w:r>
    </w:p>
    <w:p>
      <w:pPr>
        <w:spacing w:after="200" w:before="0"/>
        <w:jc w:val="center"/>
      </w:pPr>
      <w:r>
        <w:rPr>
          <w:rFonts w:ascii="Arial" w:cs="Arial" w:eastAsia="Arial" w:hAnsi="Arial"/>
          <w:b w:val="false"/>
          <w:bCs w:val="false"/>
          <w:i/>
          <w:iCs/>
          <w:color w:val="475569"/>
          <w:sz w:val="24"/>
          <w:szCs w:val="24"/>
        </w:rPr>
        <w:t xml:space="preserve">From intimate weddings to stadium-scale concerts, from corporate summits to government ceremonies —
OccasionPro is the single platform that runs it all.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D4ED8" w:sz="1"/>
              <w:left w:val="single" w:color="1D4ED8" w:sz="1"/>
              <w:bottom w:val="single" w:color="1D4ED8" w:sz="1"/>
              <w:right w:val="single" w:color="1D4ED8" w:sz="1"/>
            </w:tcBorders>
            <w:shd w:fill="DBEAFE" w:val="clear"/>
            <w:tcMar>
              <w:top w:type="dxa" w:w="200"/>
              <w:left w:type="dxa" w:w="200"/>
              <w:bottom w:type="dxa" w:w="200"/>
              <w:right w:type="dxa" w:w="200"/>
            </w:tcMar>
            <w:vAlign w:val="center"/>
          </w:tcPr>
          <w:p>
            <w:pPr>
              <w:spacing w:after="60" w:before="0"/>
              <w:jc w:val="center"/>
            </w:pPr>
            <w:r>
              <w:rPr>
                <w:rFonts w:ascii="Arial" w:cs="Arial" w:eastAsia="Arial" w:hAnsi="Arial"/>
                <w:b/>
                <w:bCs/>
                <w:i w:val="false"/>
                <w:iCs w:val="false"/>
                <w:color w:val="1D4ED8"/>
                <w:sz w:val="52"/>
                <w:szCs w:val="52"/>
              </w:rPr>
              <w:t xml:space="preserve">$1.5T</w:t>
            </w:r>
          </w:p>
          <w:p>
            <w:pPr>
              <w:spacing w:after="40" w:before="0"/>
              <w:jc w:val="center"/>
            </w:pPr>
            <w:r>
              <w:rPr>
                <w:rFonts w:ascii="Arial" w:cs="Arial" w:eastAsia="Arial" w:hAnsi="Arial"/>
                <w:b/>
                <w:bCs/>
                <w:i w:val="false"/>
                <w:iCs w:val="false"/>
                <w:color w:val="0F172A"/>
                <w:sz w:val="18"/>
                <w:szCs w:val="18"/>
              </w:rPr>
              <w:t xml:space="preserve">Global Events Industry</w:t>
            </w:r>
          </w:p>
          <w:p>
            <w:pPr>
              <w:spacing w:after="0" w:before="0"/>
              <w:jc w:val="center"/>
            </w:pPr>
            <w:r>
              <w:rPr>
                <w:rFonts w:ascii="Arial" w:cs="Arial" w:eastAsia="Arial" w:hAnsi="Arial"/>
                <w:b w:val="false"/>
                <w:bCs w:val="false"/>
                <w:i/>
                <w:iCs/>
                <w:color w:val="64748B"/>
                <w:sz w:val="16"/>
                <w:szCs w:val="16"/>
              </w:rPr>
              <w:t xml:space="preserve">Total addressable market</w:t>
            </w:r>
          </w:p>
        </w:tc>
        <w:tc>
          <w:tcPr>
            <w:tcW w:type="dxa" w:w="3120"/>
            <w:tcBorders>
              <w:top w:val="single" w:color="06B6D4" w:sz="1"/>
              <w:left w:val="single" w:color="06B6D4" w:sz="1"/>
              <w:bottom w:val="single" w:color="06B6D4" w:sz="1"/>
              <w:right w:val="single" w:color="06B6D4" w:sz="1"/>
            </w:tcBorders>
            <w:shd w:fill="CFFAFE" w:val="clear"/>
            <w:tcMar>
              <w:top w:type="dxa" w:w="200"/>
              <w:left w:type="dxa" w:w="200"/>
              <w:bottom w:type="dxa" w:w="200"/>
              <w:right w:type="dxa" w:w="200"/>
            </w:tcMar>
            <w:vAlign w:val="center"/>
          </w:tcPr>
          <w:p>
            <w:pPr>
              <w:spacing w:after="60" w:before="0"/>
              <w:jc w:val="center"/>
            </w:pPr>
            <w:r>
              <w:rPr>
                <w:rFonts w:ascii="Arial" w:cs="Arial" w:eastAsia="Arial" w:hAnsi="Arial"/>
                <w:b/>
                <w:bCs/>
                <w:i w:val="false"/>
                <w:iCs w:val="false"/>
                <w:color w:val="06B6D4"/>
                <w:sz w:val="52"/>
                <w:szCs w:val="52"/>
              </w:rPr>
              <w:t xml:space="preserve">7</w:t>
            </w:r>
          </w:p>
          <w:p>
            <w:pPr>
              <w:spacing w:after="40" w:before="0"/>
              <w:jc w:val="center"/>
            </w:pPr>
            <w:r>
              <w:rPr>
                <w:rFonts w:ascii="Arial" w:cs="Arial" w:eastAsia="Arial" w:hAnsi="Arial"/>
                <w:b/>
                <w:bCs/>
                <w:i w:val="false"/>
                <w:iCs w:val="false"/>
                <w:color w:val="0F172A"/>
                <w:sz w:val="18"/>
                <w:szCs w:val="18"/>
              </w:rPr>
              <w:t xml:space="preserve">Integrated Portals</w:t>
            </w:r>
          </w:p>
          <w:p>
            <w:pPr>
              <w:spacing w:after="0" w:before="0"/>
              <w:jc w:val="center"/>
            </w:pPr>
            <w:r>
              <w:rPr>
                <w:rFonts w:ascii="Arial" w:cs="Arial" w:eastAsia="Arial" w:hAnsi="Arial"/>
                <w:b w:val="false"/>
                <w:bCs w:val="false"/>
                <w:i/>
                <w:iCs/>
                <w:color w:val="64748B"/>
                <w:sz w:val="16"/>
                <w:szCs w:val="16"/>
              </w:rPr>
              <w:t xml:space="preserve">End-to-end ecosystem</w:t>
            </w:r>
          </w:p>
        </w:tc>
        <w:tc>
          <w:tcPr>
            <w:tcW w:type="dxa" w:w="3120"/>
            <w:tcBorders>
              <w:top w:val="single" w:color="D97706" w:sz="1"/>
              <w:left w:val="single" w:color="D97706" w:sz="1"/>
              <w:bottom w:val="single" w:color="D97706" w:sz="1"/>
              <w:right w:val="single" w:color="D97706" w:sz="1"/>
            </w:tcBorders>
            <w:shd w:fill="FEF3C7" w:val="clear"/>
            <w:tcMar>
              <w:top w:type="dxa" w:w="200"/>
              <w:left w:type="dxa" w:w="200"/>
              <w:bottom w:type="dxa" w:w="200"/>
              <w:right w:type="dxa" w:w="200"/>
            </w:tcMar>
            <w:vAlign w:val="center"/>
          </w:tcPr>
          <w:p>
            <w:pPr>
              <w:spacing w:after="60" w:before="0"/>
              <w:jc w:val="center"/>
            </w:pPr>
            <w:r>
              <w:rPr>
                <w:rFonts w:ascii="Arial" w:cs="Arial" w:eastAsia="Arial" w:hAnsi="Arial"/>
                <w:b/>
                <w:bCs/>
                <w:i w:val="false"/>
                <w:iCs w:val="false"/>
                <w:color w:val="D97706"/>
                <w:sz w:val="52"/>
                <w:szCs w:val="52"/>
              </w:rPr>
              <w:t xml:space="preserve">100+</w:t>
            </w:r>
          </w:p>
          <w:p>
            <w:pPr>
              <w:spacing w:after="40" w:before="0"/>
              <w:jc w:val="center"/>
            </w:pPr>
            <w:r>
              <w:rPr>
                <w:rFonts w:ascii="Arial" w:cs="Arial" w:eastAsia="Arial" w:hAnsi="Arial"/>
                <w:b/>
                <w:bCs/>
                <w:i w:val="false"/>
                <w:iCs w:val="false"/>
                <w:color w:val="0F172A"/>
                <w:sz w:val="18"/>
                <w:szCs w:val="18"/>
              </w:rPr>
              <w:t xml:space="preserve">Event Categories</w:t>
            </w:r>
          </w:p>
          <w:p>
            <w:pPr>
              <w:spacing w:after="0" w:before="0"/>
              <w:jc w:val="center"/>
            </w:pPr>
            <w:r>
              <w:rPr>
                <w:rFonts w:ascii="Arial" w:cs="Arial" w:eastAsia="Arial" w:hAnsi="Arial"/>
                <w:b w:val="false"/>
                <w:bCs w:val="false"/>
                <w:i/>
                <w:iCs/>
                <w:color w:val="64748B"/>
                <w:sz w:val="16"/>
                <w:szCs w:val="16"/>
              </w:rPr>
              <w:t xml:space="preserve">Every event type supported</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1D4ED8" w:sz="1"/>
              <w:bottom w:val="single" w:color="1D4ED8" w:sz="1"/>
              <w:right w:val="single" w:color="1D4ED8" w:sz="1"/>
            </w:tcBorders>
            <w:shd w:fill="F1F5F9" w:val="clear"/>
            <w:tcMar>
              <w:top w:type="dxa" w:w="240"/>
              <w:left w:type="dxa" w:w="360"/>
              <w:bottom w:type="dxa" w:w="240"/>
              <w:right w:type="dxa" w:w="360"/>
            </w:tcMar>
          </w:tcPr>
          <w:p>
            <w:pPr>
              <w:spacing w:after="100" w:before="0"/>
              <w:jc w:val="center"/>
            </w:pPr>
            <w:r>
              <w:rPr>
                <w:rFonts w:ascii="Arial" w:cs="Arial" w:eastAsia="Arial" w:hAnsi="Arial"/>
                <w:b/>
                <w:bCs/>
                <w:i w:val="false"/>
                <w:iCs w:val="false"/>
                <w:color w:val="0F172A"/>
                <w:sz w:val="22"/>
                <w:szCs w:val="22"/>
              </w:rPr>
              <w:t xml:space="preserve">What OccasionPro Replaces</w:t>
            </w:r>
          </w:p>
          <w:p>
            <w:pPr>
              <w:spacing w:after="0" w:before="0"/>
              <w:jc w:val="center"/>
            </w:pPr>
            <w:r>
              <w:rPr>
                <w:rFonts w:ascii="Arial" w:cs="Arial" w:eastAsia="Arial" w:hAnsi="Arial"/>
                <w:b w:val="false"/>
                <w:bCs w:val="false"/>
                <w:i w:val="false"/>
                <w:iCs w:val="false"/>
                <w:color w:val="475569"/>
                <w:sz w:val="19"/>
                <w:szCs w:val="19"/>
              </w:rPr>
              <w:t xml:space="preserve">ERP  ·  CRM  ·  Operations Platform  ·  Financial System  ·  Vendor Marketplace  ·  Guest Experience  ·  AI Intelligence Layer</w:t>
            </w:r>
          </w:p>
        </w:tc>
      </w:tr>
    </w:tbl>
    <w:p>
      <w:pPr>
        <w:spacing w:after="240" w:before="0"/>
      </w:pPr>
      <w:r>
        <w:t xml:space="preserve"/>
      </w:r>
    </w:p>
    <w:p>
      <w:pPr>
        <w:spacing w:after="60" w:before="0"/>
        <w:jc w:val="center"/>
      </w:pPr>
      <w:r>
        <w:rPr>
          <w:rFonts w:ascii="Arial" w:cs="Arial" w:eastAsia="Arial" w:hAnsi="Arial"/>
          <w:b w:val="false"/>
          <w:bCs w:val="false"/>
          <w:i/>
          <w:iCs/>
          <w:color w:val="64748B"/>
          <w:sz w:val="18"/>
          <w:szCs w:val="18"/>
        </w:rPr>
        <w:t xml:space="preserve">May 2026  ·  Version 1.0</w:t>
      </w:r>
    </w:p>
    <w:p>
      <w:r>
        <w:br w:type="page"/>
      </w:r>
    </w:p>
    <w:p>
      <w:pPr>
        <w:spacing w:after="200" w:before="0"/>
      </w:pPr>
      <w:r>
        <w:t xml:space="preserve"/>
      </w:r>
    </w:p>
    <w:p>
      <w:pPr>
        <w:spacing w:after="60" w:before="0"/>
      </w:pPr>
      <w:r>
        <w:rPr>
          <w:rFonts w:ascii="Arial" w:cs="Arial" w:eastAsia="Arial" w:hAnsi="Arial"/>
          <w:b/>
          <w:bCs/>
          <w:i w:val="false"/>
          <w:iCs w:val="false"/>
          <w:color w:val="0F172A"/>
          <w:sz w:val="36"/>
          <w:szCs w:val="36"/>
        </w:rPr>
        <w:t xml:space="preserve">Executive Summary</w:t>
      </w:r>
    </w:p>
    <w:p>
      <w:pPr>
        <w:pBdr>
          <w:bottom w:val="single" w:color="0F172A" w:sz="8" w:space="1"/>
        </w:pBdr>
        <w:spacing w:after="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1D4ED8" w:sz="24"/>
              <w:bottom w:val="none" w:color="FFFFFF" w:sz="0"/>
              <w:right w:val="none" w:color="FFFFFF" w:sz="0"/>
            </w:tcBorders>
            <w:shd w:fill="DBEAFE" w:val="clear"/>
            <w:tcMar>
              <w:top w:type="dxa" w:w="160"/>
              <w:left w:type="dxa" w:w="300"/>
              <w:bottom w:type="dxa" w:w="160"/>
              <w:right w:type="dxa" w:w="200"/>
            </w:tcMar>
          </w:tcPr>
          <w:p>
            <w:pPr>
              <w:spacing w:after="0" w:before="0"/>
            </w:pPr>
            <w:r>
              <w:rPr>
                <w:rFonts w:ascii="Arial" w:cs="Arial" w:eastAsia="Arial" w:hAnsi="Arial"/>
                <w:b w:val="false"/>
                <w:bCs w:val="false"/>
                <w:i/>
                <w:iCs/>
                <w:color w:val="0F172A"/>
                <w:sz w:val="21"/>
                <w:szCs w:val="21"/>
              </w:rPr>
              <w:t xml:space="preserve">"The global events industry is a $1.5 trillion market with no true operating system. OccasionPro changes that."</w:t>
            </w:r>
          </w:p>
        </w:tc>
      </w:tr>
    </w:tbl>
    <w:p>
      <w:pPr>
        <w:spacing w:after="120" w:before="0"/>
      </w:pPr>
      <w:r>
        <w:t xml:space="preserve"/>
      </w:r>
    </w:p>
    <w:p>
      <w:pPr>
        <w:spacing w:after="120" w:before="0"/>
      </w:pPr>
      <w:r>
        <w:rPr>
          <w:rFonts w:ascii="Arial" w:cs="Arial" w:eastAsia="Arial" w:hAnsi="Arial"/>
          <w:b w:val="false"/>
          <w:bCs w:val="false"/>
          <w:i w:val="false"/>
          <w:iCs w:val="false"/>
          <w:color w:val="475569"/>
          <w:sz w:val="20"/>
          <w:szCs w:val="20"/>
        </w:rPr>
        <w:t xml:space="preserve">OccasionPro is a next-generation, AI-native enterprise event operating system built for the full spectrum of events — from intimate luxury weddings to stadium-scale concerts and government summits. It is the first platform to unify every dimension of event management into a single, intelligent ecosystem.</w:t>
      </w:r>
    </w:p>
    <w:p>
      <w:pPr>
        <w:spacing w:after="120" w:before="0"/>
      </w:pPr>
      <w:r>
        <w:rPr>
          <w:rFonts w:ascii="Arial" w:cs="Arial" w:eastAsia="Arial" w:hAnsi="Arial"/>
          <w:b w:val="false"/>
          <w:bCs w:val="false"/>
          <w:i w:val="false"/>
          <w:iCs w:val="false"/>
          <w:color w:val="475569"/>
          <w:sz w:val="20"/>
          <w:szCs w:val="20"/>
        </w:rPr>
        <w:t xml:space="preserve">Today's event companies operate across a fragmented patchwork of spreadsheets, WhatsApp threads, generic project tools, and disconnected billing software. The result is operational chaos, revenue leakage, and a client experience that falls far short of what the industry demands. OccasionPro eliminates this fragmentation entirely.</w:t>
      </w:r>
    </w:p>
    <w:p>
      <w:pPr>
        <w:spacing w:after="120" w:before="0"/>
      </w:pPr>
      <w:r>
        <w:rPr>
          <w:rFonts w:ascii="Arial" w:cs="Arial" w:eastAsia="Arial" w:hAnsi="Arial"/>
          <w:b w:val="false"/>
          <w:bCs w:val="false"/>
          <w:i w:val="false"/>
          <w:iCs w:val="false"/>
          <w:color w:val="475569"/>
          <w:sz w:val="20"/>
          <w:szCs w:val="20"/>
        </w:rPr>
        <w:t xml:space="preserve">Built on a modern, globally scalable architecture — Supabase, Cloudflare, React Native, and a provider-agnostic AI layer — OccasionPro is designed to serve a solo event coordinator just as powerfully as a multinational events corporation running 500 simultaneous events across 30 countries.</w:t>
      </w:r>
    </w:p>
    <w:p>
      <w:pPr>
        <w:spacing w:after="80" w:before="0"/>
      </w:pPr>
      <w:r>
        <w:t xml:space="preserve"/>
      </w:r>
    </w:p>
    <w:p>
      <w:pPr>
        <w:spacing w:after="80" w:before="160"/>
      </w:pPr>
      <w:r>
        <w:rPr>
          <w:rFonts w:ascii="Arial" w:cs="Arial" w:eastAsia="Arial" w:hAnsi="Arial"/>
          <w:b/>
          <w:bCs/>
          <w:i w:val="false"/>
          <w:iCs w:val="false"/>
          <w:color w:val="1D4ED8"/>
          <w:sz w:val="24"/>
          <w:szCs w:val="24"/>
        </w:rPr>
        <w:t xml:space="preserve">Key Highlights</w:t>
      </w:r>
    </w:p>
    <w:p>
      <w:pPr>
        <w:pStyle w:val="ListParagraph"/>
        <w:numPr>
          <w:ilvl w:val="0"/>
          <w:numId w:val="2"/>
        </w:numPr>
        <w:spacing w:after="30" w:before="30"/>
      </w:pPr>
      <w:r>
        <w:rPr>
          <w:rFonts w:ascii="Arial" w:cs="Arial" w:eastAsia="Arial" w:hAnsi="Arial"/>
          <w:b w:val="false"/>
          <w:bCs w:val="false"/>
          <w:i w:val="false"/>
          <w:iCs w:val="false"/>
          <w:color w:val="475569"/>
          <w:sz w:val="20"/>
          <w:szCs w:val="20"/>
        </w:rPr>
        <w:t xml:space="preserve">7 purpose-built portals covering every stakeholder — from company owners to attending guests</w:t>
      </w:r>
    </w:p>
    <w:p>
      <w:pPr>
        <w:pStyle w:val="ListParagraph"/>
        <w:numPr>
          <w:ilvl w:val="0"/>
          <w:numId w:val="2"/>
        </w:numPr>
        <w:spacing w:after="30" w:before="30"/>
      </w:pPr>
      <w:r>
        <w:rPr>
          <w:rFonts w:ascii="Arial" w:cs="Arial" w:eastAsia="Arial" w:hAnsi="Arial"/>
          <w:b w:val="false"/>
          <w:bCs w:val="false"/>
          <w:i w:val="false"/>
          <w:iCs w:val="false"/>
          <w:color w:val="475569"/>
          <w:sz w:val="20"/>
          <w:szCs w:val="20"/>
        </w:rPr>
        <w:t xml:space="preserve">AI deeply embedded across every workflow — not bolted on as a feature, but native to the system</w:t>
      </w:r>
    </w:p>
    <w:p>
      <w:pPr>
        <w:pStyle w:val="ListParagraph"/>
        <w:numPr>
          <w:ilvl w:val="0"/>
          <w:numId w:val="2"/>
        </w:numPr>
        <w:spacing w:after="30" w:before="30"/>
      </w:pPr>
      <w:r>
        <w:rPr>
          <w:rFonts w:ascii="Arial" w:cs="Arial" w:eastAsia="Arial" w:hAnsi="Arial"/>
          <w:b w:val="false"/>
          <w:bCs w:val="false"/>
          <w:i w:val="false"/>
          <w:iCs w:val="false"/>
          <w:color w:val="475569"/>
          <w:sz w:val="20"/>
          <w:szCs w:val="20"/>
        </w:rPr>
        <w:t xml:space="preserve">Full offline capability for on-site field operations in any connectivity environment</w:t>
      </w:r>
    </w:p>
    <w:p>
      <w:pPr>
        <w:pStyle w:val="ListParagraph"/>
        <w:numPr>
          <w:ilvl w:val="0"/>
          <w:numId w:val="2"/>
        </w:numPr>
        <w:spacing w:after="30" w:before="30"/>
      </w:pPr>
      <w:r>
        <w:rPr>
          <w:rFonts w:ascii="Arial" w:cs="Arial" w:eastAsia="Arial" w:hAnsi="Arial"/>
          <w:b w:val="false"/>
          <w:bCs w:val="false"/>
          <w:i w:val="false"/>
          <w:iCs w:val="false"/>
          <w:color w:val="475569"/>
          <w:sz w:val="20"/>
          <w:szCs w:val="20"/>
        </w:rPr>
        <w:t xml:space="preserve">White-labeling infrastructure allowing event companies to deploy OccasionPro as their own branded product</w:t>
      </w:r>
    </w:p>
    <w:p>
      <w:pPr>
        <w:pStyle w:val="ListParagraph"/>
        <w:numPr>
          <w:ilvl w:val="0"/>
          <w:numId w:val="2"/>
        </w:numPr>
        <w:spacing w:after="30" w:before="30"/>
      </w:pPr>
      <w:r>
        <w:rPr>
          <w:rFonts w:ascii="Arial" w:cs="Arial" w:eastAsia="Arial" w:hAnsi="Arial"/>
          <w:b w:val="false"/>
          <w:bCs w:val="false"/>
          <w:i w:val="false"/>
          <w:iCs w:val="false"/>
          <w:color w:val="475569"/>
          <w:sz w:val="20"/>
          <w:szCs w:val="20"/>
        </w:rPr>
        <w:t xml:space="preserve">Freemium model with clear upgrade paths — zero barrier to entry, high conversion to paid tiers</w:t>
      </w:r>
    </w:p>
    <w:p>
      <w:pPr>
        <w:pStyle w:val="ListParagraph"/>
        <w:numPr>
          <w:ilvl w:val="0"/>
          <w:numId w:val="2"/>
        </w:numPr>
        <w:spacing w:after="30" w:before="30"/>
      </w:pPr>
      <w:r>
        <w:rPr>
          <w:rFonts w:ascii="Arial" w:cs="Arial" w:eastAsia="Arial" w:hAnsi="Arial"/>
          <w:b w:val="false"/>
          <w:bCs w:val="false"/>
          <w:i w:val="false"/>
          <w:iCs w:val="false"/>
          <w:color w:val="475569"/>
          <w:sz w:val="20"/>
          <w:szCs w:val="20"/>
        </w:rPr>
        <w:t xml:space="preserve">Native mobile apps for iOS and Android alongside a full-featured web platform</w:t>
      </w:r>
    </w:p>
    <w:p>
      <w:pPr>
        <w:pStyle w:val="ListParagraph"/>
        <w:numPr>
          <w:ilvl w:val="0"/>
          <w:numId w:val="2"/>
        </w:numPr>
        <w:spacing w:after="30" w:before="30"/>
      </w:pPr>
      <w:r>
        <w:rPr>
          <w:rFonts w:ascii="Arial" w:cs="Arial" w:eastAsia="Arial" w:hAnsi="Arial"/>
          <w:b w:val="false"/>
          <w:bCs w:val="false"/>
          <w:i w:val="false"/>
          <w:iCs w:val="false"/>
          <w:color w:val="475569"/>
          <w:sz w:val="20"/>
          <w:szCs w:val="20"/>
        </w:rPr>
        <w:t xml:space="preserve">Razorpay-powered payment ecosystem including vendor payouts, client invoicing and subscription billing</w:t>
      </w:r>
    </w:p>
    <w:p>
      <w:pPr>
        <w:pStyle w:val="ListParagraph"/>
        <w:numPr>
          <w:ilvl w:val="0"/>
          <w:numId w:val="2"/>
        </w:numPr>
        <w:spacing w:after="30" w:before="30"/>
      </w:pPr>
      <w:r>
        <w:rPr>
          <w:rFonts w:ascii="Arial" w:cs="Arial" w:eastAsia="Arial" w:hAnsi="Arial"/>
          <w:b w:val="false"/>
          <w:bCs w:val="false"/>
          <w:i w:val="false"/>
          <w:iCs w:val="false"/>
          <w:color w:val="475569"/>
          <w:sz w:val="20"/>
          <w:szCs w:val="20"/>
        </w:rPr>
        <w:t xml:space="preserve">Global from day one — multi-currency, multi-timezone, i18n across all portals</w:t>
      </w:r>
    </w:p>
    <w:p>
      <w:pPr>
        <w:spacing w:after="120" w:before="0"/>
      </w:pPr>
      <w:r>
        <w:t xml:space="preserve"/>
      </w:r>
    </w:p>
    <w:p>
      <w:r>
        <w:br w:type="page"/>
      </w:r>
    </w:p>
    <w:p>
      <w:pPr>
        <w:spacing w:after="200" w:before="0"/>
      </w:pPr>
      <w:r>
        <w:t xml:space="preserve"/>
      </w:r>
    </w:p>
    <w:p>
      <w:pPr>
        <w:spacing w:after="60" w:before="0"/>
      </w:pPr>
      <w:r>
        <w:rPr>
          <w:rFonts w:ascii="Arial" w:cs="Arial" w:eastAsia="Arial" w:hAnsi="Arial"/>
          <w:b/>
          <w:bCs/>
          <w:i w:val="false"/>
          <w:iCs w:val="false"/>
          <w:color w:val="DC2626"/>
          <w:sz w:val="36"/>
          <w:szCs w:val="36"/>
        </w:rPr>
        <w:t xml:space="preserve">The Problem</w:t>
      </w:r>
    </w:p>
    <w:p>
      <w:pPr>
        <w:pBdr>
          <w:bottom w:val="single" w:color="DC2626" w:sz="8" w:space="1"/>
        </w:pBdr>
        <w:spacing w:after="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DC2626" w:sz="24"/>
              <w:bottom w:val="none" w:color="FFFFFF" w:sz="0"/>
              <w:right w:val="none" w:color="FFFFFF" w:sz="0"/>
            </w:tcBorders>
            <w:shd w:fill="FEE2E2" w:val="clear"/>
            <w:tcMar>
              <w:top w:type="dxa" w:w="160"/>
              <w:left w:type="dxa" w:w="300"/>
              <w:bottom w:type="dxa" w:w="160"/>
              <w:right w:type="dxa" w:w="200"/>
            </w:tcMar>
          </w:tcPr>
          <w:p>
            <w:pPr>
              <w:spacing w:after="60" w:before="0"/>
            </w:pPr>
            <w:r>
              <w:rPr>
                <w:rFonts w:ascii="Arial" w:cs="Arial" w:eastAsia="Arial" w:hAnsi="Arial"/>
                <w:b/>
                <w:bCs/>
                <w:i w:val="false"/>
                <w:iCs w:val="false"/>
                <w:color w:val="DC2626"/>
                <w:sz w:val="18"/>
                <w:szCs w:val="18"/>
              </w:rPr>
              <w:t xml:space="preserve">The Operational Reality</w:t>
            </w:r>
          </w:p>
          <w:p>
            <w:pPr>
              <w:spacing w:after="0" w:before="0"/>
            </w:pPr>
            <w:r>
              <w:rPr>
                <w:rFonts w:ascii="Arial" w:cs="Arial" w:eastAsia="Arial" w:hAnsi="Arial"/>
                <w:b w:val="false"/>
                <w:bCs w:val="false"/>
                <w:i/>
                <w:iCs/>
                <w:color w:val="0F172A"/>
                <w:sz w:val="21"/>
                <w:szCs w:val="21"/>
              </w:rPr>
              <w:t xml:space="preserve">The events industry generates trillions of dollars annually — yet it still runs on WhatsApp, Excel and gut instinct.</w:t>
            </w:r>
          </w:p>
        </w:tc>
      </w:tr>
    </w:tbl>
    <w:p>
      <w:pPr>
        <w:spacing w:after="120" w:before="0"/>
      </w:pPr>
      <w:r>
        <w:t xml:space="preserve"/>
      </w:r>
    </w:p>
    <w:p>
      <w:pPr>
        <w:spacing w:after="120" w:before="0"/>
      </w:pPr>
      <w:r>
        <w:rPr>
          <w:rFonts w:ascii="Arial" w:cs="Arial" w:eastAsia="Arial" w:hAnsi="Arial"/>
          <w:b w:val="false"/>
          <w:bCs w:val="false"/>
          <w:i w:val="false"/>
          <w:iCs w:val="false"/>
          <w:color w:val="475569"/>
          <w:sz w:val="20"/>
          <w:szCs w:val="20"/>
        </w:rPr>
        <w:t xml:space="preserve">Event companies today face a systemic operational crisis. As events grow more complex — multi-vendor, multi-city, multi-day — the tools available to manage them have not kept pace. The industry is held back by five compounding failures: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DC2626" w:sz="1"/>
              <w:left w:val="single" w:color="DC2626" w:sz="1"/>
              <w:bottom w:val="single" w:color="DC2626" w:sz="1"/>
              <w:right w:val="single" w:color="DC2626" w:sz="1"/>
            </w:tcBorders>
            <w:shd w:fill="FEE2E2" w:val="clear"/>
            <w:tcMar>
              <w:top w:type="dxa" w:w="160"/>
              <w:left w:type="dxa" w:w="200"/>
              <w:bottom w:type="dxa" w:w="160"/>
              <w:right w:type="dxa" w:w="200"/>
            </w:tcMar>
          </w:tcPr>
          <w:p>
            <w:pPr>
              <w:spacing w:after="60" w:before="0"/>
            </w:pPr>
            <w:r>
              <w:rPr>
                <w:rFonts w:ascii="Arial" w:cs="Arial" w:eastAsia="Arial" w:hAnsi="Arial"/>
                <w:b/>
                <w:bCs/>
                <w:i w:val="false"/>
                <w:iCs w:val="false"/>
                <w:color w:val="DC2626"/>
                <w:sz w:val="22"/>
                <w:szCs w:val="22"/>
              </w:rPr>
              <w:t xml:space="preserve">01  Fragmentation</w:t>
            </w:r>
          </w:p>
          <w:p>
            <w:pPr>
              <w:spacing w:after="0" w:before="0"/>
            </w:pPr>
            <w:r>
              <w:rPr>
                <w:rFonts w:ascii="Arial" w:cs="Arial" w:eastAsia="Arial" w:hAnsi="Arial"/>
                <w:b w:val="false"/>
                <w:bCs w:val="false"/>
                <w:i w:val="false"/>
                <w:iCs w:val="false"/>
                <w:color w:val="475569"/>
                <w:sz w:val="19"/>
                <w:szCs w:val="19"/>
              </w:rPr>
              <w:t xml:space="preserve">CRM in one tool, budget in another, guest list in a spreadsheet, vendor chats in WhatsApp. Zero single source of truth.</w:t>
            </w:r>
          </w:p>
        </w:tc>
        <w:tc>
          <w:tcPr>
            <w:tcW w:type="dxa" w:w="4800"/>
            <w:tcBorders>
              <w:top w:val="single" w:color="D97706" w:sz="1"/>
              <w:left w:val="single" w:color="D97706" w:sz="1"/>
              <w:bottom w:val="single" w:color="D97706" w:sz="1"/>
              <w:right w:val="single" w:color="D97706" w:sz="1"/>
            </w:tcBorders>
            <w:shd w:fill="FEF3C7" w:val="clear"/>
            <w:tcMar>
              <w:top w:type="dxa" w:w="160"/>
              <w:left w:type="dxa" w:w="200"/>
              <w:bottom w:type="dxa" w:w="160"/>
              <w:right w:type="dxa" w:w="200"/>
            </w:tcMar>
          </w:tcPr>
          <w:p>
            <w:pPr>
              <w:spacing w:after="60" w:before="0"/>
            </w:pPr>
            <w:r>
              <w:rPr>
                <w:rFonts w:ascii="Arial" w:cs="Arial" w:eastAsia="Arial" w:hAnsi="Arial"/>
                <w:b/>
                <w:bCs/>
                <w:i w:val="false"/>
                <w:iCs w:val="false"/>
                <w:color w:val="D97706"/>
                <w:sz w:val="22"/>
                <w:szCs w:val="22"/>
              </w:rPr>
              <w:t xml:space="preserve">02  Revenue Leakage</w:t>
            </w:r>
          </w:p>
          <w:p>
            <w:pPr>
              <w:spacing w:after="0" w:before="0"/>
            </w:pPr>
            <w:r>
              <w:rPr>
                <w:rFonts w:ascii="Arial" w:cs="Arial" w:eastAsia="Arial" w:hAnsi="Arial"/>
                <w:b w:val="false"/>
                <w:bCs w:val="false"/>
                <w:i w:val="false"/>
                <w:iCs w:val="false"/>
                <w:color w:val="475569"/>
                <w:sz w:val="19"/>
                <w:szCs w:val="19"/>
              </w:rPr>
              <w:t xml:space="preserve">Unapproved change orders, forgotten vendor charges, late payment follow-ups — event companies lose 15–25% of revenue to operational inefficiency.</w:t>
            </w:r>
          </w:p>
        </w:tc>
      </w:tr>
      <w:tr>
        <w:tc>
          <w:tcPr>
            <w:tcW w:type="dxa" w:w="4560"/>
            <w:tcBorders>
              <w:top w:val="single" w:color="1D4ED8" w:sz="1"/>
              <w:left w:val="single" w:color="1D4ED8" w:sz="1"/>
              <w:bottom w:val="single" w:color="1D4ED8" w:sz="1"/>
              <w:right w:val="single" w:color="1D4ED8" w:sz="1"/>
            </w:tcBorders>
            <w:shd w:fill="DBEAFE" w:val="clear"/>
            <w:tcMar>
              <w:top w:type="dxa" w:w="160"/>
              <w:left w:type="dxa" w:w="200"/>
              <w:bottom w:type="dxa" w:w="160"/>
              <w:right w:type="dxa" w:w="200"/>
            </w:tcMar>
          </w:tcPr>
          <w:p>
            <w:pPr>
              <w:spacing w:after="60" w:before="0"/>
            </w:pPr>
            <w:r>
              <w:rPr>
                <w:rFonts w:ascii="Arial" w:cs="Arial" w:eastAsia="Arial" w:hAnsi="Arial"/>
                <w:b/>
                <w:bCs/>
                <w:i w:val="false"/>
                <w:iCs w:val="false"/>
                <w:color w:val="1D4ED8"/>
                <w:sz w:val="22"/>
                <w:szCs w:val="22"/>
              </w:rPr>
              <w:t xml:space="preserve">03  No Intelligence Layer</w:t>
            </w:r>
          </w:p>
          <w:p>
            <w:pPr>
              <w:spacing w:after="0" w:before="0"/>
            </w:pPr>
            <w:r>
              <w:rPr>
                <w:rFonts w:ascii="Arial" w:cs="Arial" w:eastAsia="Arial" w:hAnsi="Arial"/>
                <w:b w:val="false"/>
                <w:bCs w:val="false"/>
                <w:i w:val="false"/>
                <w:iCs w:val="false"/>
                <w:color w:val="475569"/>
                <w:sz w:val="19"/>
                <w:szCs w:val="19"/>
              </w:rPr>
              <w:t xml:space="preserve">Event companies make millions in revenue decisions based on intuition. No AI. No data-driven forecasting. No risk prediction.</w:t>
            </w:r>
          </w:p>
        </w:tc>
        <w:tc>
          <w:tcPr>
            <w:tcW w:type="dxa" w:w="4800"/>
            <w:tcBorders>
              <w:top w:val="single" w:color="06B6D4" w:sz="1"/>
              <w:left w:val="single" w:color="06B6D4" w:sz="1"/>
              <w:bottom w:val="single" w:color="06B6D4" w:sz="1"/>
              <w:right w:val="single" w:color="06B6D4" w:sz="1"/>
            </w:tcBorders>
            <w:shd w:fill="CFFAFE" w:val="clear"/>
            <w:tcMar>
              <w:top w:type="dxa" w:w="160"/>
              <w:left w:type="dxa" w:w="200"/>
              <w:bottom w:type="dxa" w:w="160"/>
              <w:right w:type="dxa" w:w="200"/>
            </w:tcMar>
          </w:tcPr>
          <w:p>
            <w:pPr>
              <w:spacing w:after="60" w:before="0"/>
            </w:pPr>
            <w:r>
              <w:rPr>
                <w:rFonts w:ascii="Arial" w:cs="Arial" w:eastAsia="Arial" w:hAnsi="Arial"/>
                <w:b/>
                <w:bCs/>
                <w:i w:val="false"/>
                <w:iCs w:val="false"/>
                <w:color w:val="06B6D4"/>
                <w:sz w:val="22"/>
                <w:szCs w:val="22"/>
              </w:rPr>
              <w:t xml:space="preserve">04  Poor Guest Experience</w:t>
            </w:r>
          </w:p>
          <w:p>
            <w:pPr>
              <w:spacing w:after="0" w:before="0"/>
            </w:pPr>
            <w:r>
              <w:rPr>
                <w:rFonts w:ascii="Arial" w:cs="Arial" w:eastAsia="Arial" w:hAnsi="Arial"/>
                <w:b w:val="false"/>
                <w:bCs w:val="false"/>
                <w:i w:val="false"/>
                <w:iCs w:val="false"/>
                <w:color w:val="475569"/>
                <w:sz w:val="19"/>
                <w:szCs w:val="19"/>
              </w:rPr>
              <w:t xml:space="preserve">The guest — who the entire event is for — has no digital experience layer. No RSVP portal, no live updates, no QR check-in, no post-event engagement.</w:t>
            </w:r>
          </w:p>
        </w:tc>
      </w:tr>
      <w:tr>
        <w:tc>
          <w:tcPr>
            <w:tcW w:type="dxa" w:w="9360"/>
            <w:tcBorders>
              <w:top w:val="single" w:color="15803D" w:sz="1"/>
              <w:left w:val="single" w:color="15803D" w:sz="1"/>
              <w:bottom w:val="single" w:color="15803D" w:sz="1"/>
              <w:right w:val="single" w:color="15803D" w:sz="1"/>
            </w:tcBorders>
            <w:shd w:fill="DCFCE7" w:val="clear"/>
            <w:tcMar>
              <w:top w:type="dxa" w:w="160"/>
              <w:left w:type="dxa" w:w="200"/>
              <w:bottom w:type="dxa" w:w="160"/>
              <w:right w:type="dxa" w:w="200"/>
            </w:tcMar>
          </w:tcPr>
          <w:p>
            <w:pPr>
              <w:spacing w:after="60" w:before="0"/>
            </w:pPr>
            <w:r>
              <w:rPr>
                <w:rFonts w:ascii="Arial" w:cs="Arial" w:eastAsia="Arial" w:hAnsi="Arial"/>
                <w:b/>
                <w:bCs/>
                <w:i w:val="false"/>
                <w:iCs w:val="false"/>
                <w:color w:val="15803D"/>
                <w:sz w:val="22"/>
                <w:szCs w:val="22"/>
              </w:rPr>
              <w:t xml:space="preserve">05  Offline Operations Failure</w:t>
            </w:r>
          </w:p>
          <w:p>
            <w:pPr>
              <w:spacing w:after="0" w:before="0"/>
            </w:pPr>
            <w:r>
              <w:rPr>
                <w:rFonts w:ascii="Arial" w:cs="Arial" w:eastAsia="Arial" w:hAnsi="Arial"/>
                <w:b w:val="false"/>
                <w:bCs w:val="false"/>
                <w:i w:val="false"/>
                <w:iCs w:val="false"/>
                <w:color w:val="475569"/>
                <w:sz w:val="19"/>
                <w:szCs w:val="19"/>
              </w:rPr>
              <w:t xml:space="preserve">Events happen in venues with poor connectivity. Field teams lose access to critical information at the exact moment they need it most — on the day of the event.</w:t>
            </w:r>
          </w:p>
        </w:tc>
        <w:tc>
          <w:tcPr>
            <w:tcW w:type="dxa" w:w="0"/>
            <w:tcBorders>
              <w:top w:val="none" w:color="FFFFFF" w:sz="0"/>
              <w:left w:val="none" w:color="FFFFFF" w:sz="0"/>
              <w:bottom w:val="none" w:color="FFFFFF" w:sz="0"/>
              <w:right w:val="none" w:color="FFFFFF" w:sz="0"/>
            </w:tcBorders>
          </w:tcPr>
          <w:p>
            <w:r>
              <w:t xml:space="preserve"/>
            </w:r>
          </w:p>
        </w:tc>
      </w:tr>
    </w:tbl>
    <w:p>
      <w:pPr>
        <w:spacing w:after="120" w:before="0"/>
      </w:pPr>
      <w:r>
        <w:t xml:space="preserve"/>
      </w:r>
    </w:p>
    <w:p>
      <w:r>
        <w:br w:type="page"/>
      </w:r>
    </w:p>
    <w:p>
      <w:pPr>
        <w:spacing w:after="200" w:before="0"/>
      </w:pPr>
      <w:r>
        <w:t xml:space="preserve"/>
      </w:r>
    </w:p>
    <w:p>
      <w:pPr>
        <w:spacing w:after="60" w:before="0"/>
      </w:pPr>
      <w:r>
        <w:rPr>
          <w:rFonts w:ascii="Arial" w:cs="Arial" w:eastAsia="Arial" w:hAnsi="Arial"/>
          <w:b/>
          <w:bCs/>
          <w:i w:val="false"/>
          <w:iCs w:val="false"/>
          <w:color w:val="1D4ED8"/>
          <w:sz w:val="36"/>
          <w:szCs w:val="36"/>
        </w:rPr>
        <w:t xml:space="preserve">The Solution</w:t>
      </w:r>
    </w:p>
    <w:p>
      <w:pPr>
        <w:pBdr>
          <w:bottom w:val="single" w:color="1D4ED8" w:sz="8" w:space="1"/>
        </w:pBdr>
        <w:spacing w:after="0" w:before="0"/>
      </w:pPr>
      <w:r>
        <w:t xml:space="preserve"/>
      </w:r>
    </w:p>
    <w:p>
      <w:pPr>
        <w:spacing w:after="80" w:before="0"/>
      </w:pPr>
      <w:r>
        <w:t xml:space="preserve"/>
      </w:r>
    </w:p>
    <w:p>
      <w:pPr>
        <w:spacing w:after="120" w:before="0"/>
      </w:pPr>
      <w:r>
        <w:rPr>
          <w:rFonts w:ascii="Arial" w:cs="Arial" w:eastAsia="Arial" w:hAnsi="Arial"/>
          <w:b w:val="false"/>
          <w:bCs w:val="false"/>
          <w:i w:val="false"/>
          <w:iCs w:val="false"/>
          <w:color w:val="0F172A"/>
          <w:sz w:val="26"/>
          <w:szCs w:val="26"/>
        </w:rPr>
        <w:t xml:space="preserve">OccasionPro is the </w:t>
      </w:r>
      <w:r>
        <w:rPr>
          <w:rFonts w:ascii="Arial" w:cs="Arial" w:eastAsia="Arial" w:hAnsi="Arial"/>
          <w:b/>
          <w:bCs/>
          <w:i w:val="false"/>
          <w:iCs w:val="false"/>
          <w:color w:val="1D4ED8"/>
          <w:sz w:val="26"/>
          <w:szCs w:val="26"/>
        </w:rPr>
        <w:t xml:space="preserve">Event Operating System</w:t>
      </w:r>
      <w:r>
        <w:rPr>
          <w:rFonts w:ascii="Arial" w:cs="Arial" w:eastAsia="Arial" w:hAnsi="Arial"/>
          <w:b w:val="false"/>
          <w:bCs w:val="false"/>
          <w:i w:val="false"/>
          <w:iCs w:val="false"/>
          <w:color w:val="0F172A"/>
          <w:sz w:val="26"/>
          <w:szCs w:val="26"/>
        </w:rPr>
        <w:t xml:space="preserve"> — a single, unified platform that replaces every disconnected tool an event company uses today.</w:t>
      </w:r>
    </w:p>
    <w:p>
      <w:pPr>
        <w:spacing w:after="80" w:before="0"/>
      </w:pPr>
      <w:r>
        <w:t xml:space="preserve"/>
      </w:r>
    </w:p>
    <w:p>
      <w:pPr>
        <w:spacing w:after="120" w:before="0"/>
      </w:pPr>
      <w:r>
        <w:rPr>
          <w:rFonts w:ascii="Arial" w:cs="Arial" w:eastAsia="Arial" w:hAnsi="Arial"/>
          <w:b w:val="false"/>
          <w:bCs w:val="false"/>
          <w:i w:val="false"/>
          <w:iCs w:val="false"/>
          <w:color w:val="475569"/>
          <w:sz w:val="20"/>
          <w:szCs w:val="20"/>
        </w:rPr>
        <w:t xml:space="preserve">Where other tools solve one slice of the problem, OccasionPro solves the entire vertical — from the moment a client lead enters the sales pipeline, through every operational detail of event execution, to post-event financial reconciliation and guest memories.</w:t>
      </w:r>
    </w:p>
    <w:p>
      <w:pPr>
        <w:spacing w:after="80" w:before="0"/>
      </w:pPr>
      <w:r>
        <w:t xml:space="preserve"/>
      </w:r>
    </w:p>
    <w:p>
      <w:pPr>
        <w:spacing w:after="80" w:before="160"/>
      </w:pPr>
      <w:r>
        <w:rPr>
          <w:rFonts w:ascii="Arial" w:cs="Arial" w:eastAsia="Arial" w:hAnsi="Arial"/>
          <w:b/>
          <w:bCs/>
          <w:i w:val="false"/>
          <w:iCs w:val="false"/>
          <w:color w:val="1D4ED8"/>
          <w:sz w:val="24"/>
          <w:szCs w:val="24"/>
        </w:rPr>
        <w:t xml:space="preserve">The Operating System Analogy</w:t>
      </w:r>
    </w:p>
    <w:p>
      <w:pPr>
        <w:spacing w:after="120" w:before="0"/>
      </w:pPr>
      <w:r>
        <w:rPr>
          <w:rFonts w:ascii="Arial" w:cs="Arial" w:eastAsia="Arial" w:hAnsi="Arial"/>
          <w:b w:val="false"/>
          <w:bCs w:val="false"/>
          <w:i w:val="false"/>
          <w:iCs w:val="false"/>
          <w:color w:val="475569"/>
          <w:sz w:val="20"/>
          <w:szCs w:val="20"/>
        </w:rPr>
        <w:t xml:space="preserve">Just as iOS coordinates every app, sensor and service on an iPhone, OccasionPro coordinates every person, vendor, budget and task across an event company. The AI layer acts as the intelligence that connects all of them — predicting issues, surfacing insights and automating workflows before a human even identifies the need.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1D4ED8" w:sz="24"/>
              <w:bottom w:val="none" w:color="FFFFFF" w:sz="0"/>
              <w:right w:val="none" w:color="FFFFFF" w:sz="0"/>
            </w:tcBorders>
            <w:shd w:fill="DBEAFE" w:val="clear"/>
            <w:tcMar>
              <w:top w:type="dxa" w:w="160"/>
              <w:left w:type="dxa" w:w="300"/>
              <w:bottom w:type="dxa" w:w="160"/>
              <w:right w:type="dxa" w:w="200"/>
            </w:tcMar>
          </w:tcPr>
          <w:p>
            <w:pPr>
              <w:spacing w:after="60" w:before="0"/>
            </w:pPr>
            <w:r>
              <w:rPr>
                <w:rFonts w:ascii="Arial" w:cs="Arial" w:eastAsia="Arial" w:hAnsi="Arial"/>
                <w:b/>
                <w:bCs/>
                <w:i w:val="false"/>
                <w:iCs w:val="false"/>
                <w:color w:val="1D4ED8"/>
                <w:sz w:val="18"/>
                <w:szCs w:val="18"/>
              </w:rPr>
              <w:t xml:space="preserve">The Positioning</w:t>
            </w:r>
          </w:p>
          <w:p>
            <w:pPr>
              <w:spacing w:after="0" w:before="0"/>
            </w:pPr>
            <w:r>
              <w:rPr>
                <w:rFonts w:ascii="Arial" w:cs="Arial" w:eastAsia="Arial" w:hAnsi="Arial"/>
                <w:b w:val="false"/>
                <w:bCs w:val="false"/>
                <w:i/>
                <w:iCs/>
                <w:color w:val="0F172A"/>
                <w:sz w:val="21"/>
                <w:szCs w:val="21"/>
              </w:rPr>
              <w:t xml:space="preserve">OccasionPro is to event companies what SAP is to manufacturing, what Salesforce is to sales teams, and what Monday.com is to project management — combined into one AI-native system purpose-built for events.</w:t>
            </w:r>
          </w:p>
        </w:tc>
      </w:tr>
    </w:tbl>
    <w:p>
      <w:pPr>
        <w:spacing w:after="120" w:before="0"/>
      </w:pPr>
      <w:r>
        <w:t xml:space="preserve"/>
      </w:r>
    </w:p>
    <w:p>
      <w:pPr>
        <w:spacing w:after="80" w:before="160"/>
      </w:pPr>
      <w:r>
        <w:rPr>
          <w:rFonts w:ascii="Arial" w:cs="Arial" w:eastAsia="Arial" w:hAnsi="Arial"/>
          <w:b/>
          <w:bCs/>
          <w:i w:val="false"/>
          <w:iCs w:val="false"/>
          <w:color w:val="1D4ED8"/>
          <w:sz w:val="24"/>
          <w:szCs w:val="24"/>
        </w:rPr>
        <w:t xml:space="preserve">7-Portal Ecosystem</w:t>
      </w:r>
    </w:p>
    <w:p>
      <w:pPr>
        <w:spacing w:after="120" w:before="0"/>
      </w:pPr>
      <w:r>
        <w:rPr>
          <w:rFonts w:ascii="Arial" w:cs="Arial" w:eastAsia="Arial" w:hAnsi="Arial"/>
          <w:b w:val="false"/>
          <w:bCs w:val="false"/>
          <w:i w:val="false"/>
          <w:iCs w:val="false"/>
          <w:color w:val="475569"/>
          <w:sz w:val="20"/>
          <w:szCs w:val="20"/>
        </w:rPr>
        <w:t xml:space="preserve">Every stakeholder in the event ecosystem gets a purpose-built experience: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360"/>
      </w:tblGrid>
      <w:tr>
        <w:tc>
          <w:tcPr>
            <w:tcW w:type="dxa" w:w="50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t>
            </w:r>
          </w:p>
        </w:tc>
        <w:tc>
          <w:tcPr>
            <w:tcW w:type="dxa" w:w="2500"/>
            <w:tcBorders>
              <w:top w:val="single" w:color="0F172A" w:sz="1"/>
              <w:left w:val="single" w:color="0F172A" w:sz="1"/>
              <w:bottom w:val="single" w:color="0F172A" w:sz="1"/>
              <w:right w:val="single" w:color="0F172A" w:sz="1"/>
            </w:tcBorders>
            <w:shd w:fill="0F172A" w:val="clear"/>
            <w:tcMar>
              <w:top w:type="dxa" w:w="80"/>
              <w:left w:type="dxa" w:w="140"/>
              <w:bottom w:type="dxa" w:w="80"/>
              <w:right w:type="dxa" w:w="140"/>
            </w:tcMar>
          </w:tcPr>
          <w:p>
            <w:r>
              <w:rPr>
                <w:rFonts w:ascii="Arial" w:cs="Arial" w:eastAsia="Arial" w:hAnsi="Arial"/>
                <w:b/>
                <w:bCs/>
                <w:i w:val="false"/>
                <w:iCs w:val="false"/>
                <w:color w:val="FFFFFF"/>
                <w:sz w:val="18"/>
                <w:szCs w:val="18"/>
              </w:rPr>
              <w:t xml:space="preserve">Portal</w:t>
            </w:r>
          </w:p>
        </w:tc>
        <w:tc>
          <w:tcPr>
            <w:tcW w:type="dxa" w:w="6360"/>
            <w:tcBorders>
              <w:top w:val="single" w:color="0F172A" w:sz="1"/>
              <w:left w:val="single" w:color="0F172A" w:sz="1"/>
              <w:bottom w:val="single" w:color="0F172A" w:sz="1"/>
              <w:right w:val="single" w:color="0F172A" w:sz="1"/>
            </w:tcBorders>
            <w:shd w:fill="0F172A" w:val="clear"/>
            <w:tcMar>
              <w:top w:type="dxa" w:w="80"/>
              <w:left w:type="dxa" w:w="140"/>
              <w:bottom w:type="dxa" w:w="80"/>
              <w:right w:type="dxa" w:w="140"/>
            </w:tcMar>
          </w:tcPr>
          <w:p>
            <w:r>
              <w:rPr>
                <w:rFonts w:ascii="Arial" w:cs="Arial" w:eastAsia="Arial" w:hAnsi="Arial"/>
                <w:b/>
                <w:bCs/>
                <w:i w:val="false"/>
                <w:iCs w:val="false"/>
                <w:color w:val="FFFFFF"/>
                <w:sz w:val="18"/>
                <w:szCs w:val="18"/>
              </w:rPr>
              <w:t xml:space="preserve">Purpose</w:t>
            </w:r>
          </w:p>
        </w:tc>
      </w:tr>
      <w:tr>
        <w:tc>
          <w:tcPr>
            <w:tcW w:type="dxa" w:w="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i w:val="false"/>
                <w:iCs w:val="false"/>
                <w:color w:val="1D4ED8"/>
                <w:sz w:val="19"/>
                <w:szCs w:val="19"/>
              </w:rPr>
              <w:t xml:space="preserve">1</w:t>
            </w:r>
          </w:p>
        </w:tc>
        <w:tc>
          <w:tcPr>
            <w:tcW w:type="dxa" w:w="2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i w:val="false"/>
                <w:iCs w:val="false"/>
                <w:color w:val="0F172A"/>
                <w:sz w:val="19"/>
                <w:szCs w:val="19"/>
              </w:rPr>
              <w:t xml:space="preserve">Super Admin Portal</w:t>
            </w:r>
          </w:p>
        </w:tc>
        <w:tc>
          <w:tcPr>
            <w:tcW w:type="dxa" w:w="6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i w:val="false"/>
                <w:iCs w:val="false"/>
                <w:color w:val="475569"/>
                <w:sz w:val="19"/>
                <w:szCs w:val="19"/>
              </w:rPr>
              <w:t xml:space="preserve">Platform-wide control — tenant management, billing, system health</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D4ED8"/>
                <w:sz w:val="19"/>
                <w:szCs w:val="19"/>
              </w:rPr>
              <w:t xml:space="preserve">2</w:t>
            </w:r>
          </w:p>
        </w:tc>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i w:val="false"/>
                <w:iCs w:val="false"/>
                <w:color w:val="0F172A"/>
                <w:sz w:val="19"/>
                <w:szCs w:val="19"/>
              </w:rPr>
              <w:t xml:space="preserve">Company Admin Portal</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475569"/>
                <w:sz w:val="19"/>
                <w:szCs w:val="19"/>
              </w:rPr>
              <w:t xml:space="preserve">AI Command Center — business intelligence, team, revenue, strategy</w:t>
            </w:r>
          </w:p>
        </w:tc>
      </w:tr>
      <w:tr>
        <w:tc>
          <w:tcPr>
            <w:tcW w:type="dxa" w:w="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i w:val="false"/>
                <w:iCs w:val="false"/>
                <w:color w:val="1D4ED8"/>
                <w:sz w:val="19"/>
                <w:szCs w:val="19"/>
              </w:rPr>
              <w:t xml:space="preserve">3</w:t>
            </w:r>
          </w:p>
        </w:tc>
        <w:tc>
          <w:tcPr>
            <w:tcW w:type="dxa" w:w="2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i w:val="false"/>
                <w:iCs w:val="false"/>
                <w:color w:val="0F172A"/>
                <w:sz w:val="19"/>
                <w:szCs w:val="19"/>
              </w:rPr>
              <w:t xml:space="preserve">Event Manager Portal</w:t>
            </w:r>
          </w:p>
        </w:tc>
        <w:tc>
          <w:tcPr>
            <w:tcW w:type="dxa" w:w="6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i w:val="false"/>
                <w:iCs w:val="false"/>
                <w:color w:val="475569"/>
                <w:sz w:val="19"/>
                <w:szCs w:val="19"/>
              </w:rPr>
              <w:t xml:space="preserve">Operational hub — planning, live command center, risk management</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D4ED8"/>
                <w:sz w:val="19"/>
                <w:szCs w:val="19"/>
              </w:rPr>
              <w:t xml:space="preserve">4</w:t>
            </w:r>
          </w:p>
        </w:tc>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i w:val="false"/>
                <w:iCs w:val="false"/>
                <w:color w:val="0F172A"/>
                <w:sz w:val="19"/>
                <w:szCs w:val="19"/>
              </w:rPr>
              <w:t xml:space="preserve">Team Member Portal</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475569"/>
                <w:sz w:val="19"/>
                <w:szCs w:val="19"/>
              </w:rPr>
              <w:t xml:space="preserve">12-module execution layer — CRM, Finance, Ops, Production, Hospitality, and more</w:t>
            </w:r>
          </w:p>
        </w:tc>
      </w:tr>
      <w:tr>
        <w:tc>
          <w:tcPr>
            <w:tcW w:type="dxa" w:w="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i w:val="false"/>
                <w:iCs w:val="false"/>
                <w:color w:val="1D4ED8"/>
                <w:sz w:val="19"/>
                <w:szCs w:val="19"/>
              </w:rPr>
              <w:t xml:space="preserve">5</w:t>
            </w:r>
          </w:p>
        </w:tc>
        <w:tc>
          <w:tcPr>
            <w:tcW w:type="dxa" w:w="2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i w:val="false"/>
                <w:iCs w:val="false"/>
                <w:color w:val="0F172A"/>
                <w:sz w:val="19"/>
                <w:szCs w:val="19"/>
              </w:rPr>
              <w:t xml:space="preserve">Client Portal</w:t>
            </w:r>
          </w:p>
        </w:tc>
        <w:tc>
          <w:tcPr>
            <w:tcW w:type="dxa" w:w="6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i w:val="false"/>
                <w:iCs w:val="false"/>
                <w:color w:val="475569"/>
                <w:sz w:val="19"/>
                <w:szCs w:val="19"/>
              </w:rPr>
              <w:t xml:space="preserve">Luxury client experience — approvals, payments, event day live feed</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D4ED8"/>
                <w:sz w:val="19"/>
                <w:szCs w:val="19"/>
              </w:rPr>
              <w:t xml:space="preserve">6</w:t>
            </w:r>
          </w:p>
        </w:tc>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i w:val="false"/>
                <w:iCs w:val="false"/>
                <w:color w:val="0F172A"/>
                <w:sz w:val="19"/>
                <w:szCs w:val="19"/>
              </w:rPr>
              <w:t xml:space="preserve">Vendor Portal</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475569"/>
                <w:sz w:val="19"/>
                <w:szCs w:val="19"/>
              </w:rPr>
              <w:t xml:space="preserve">Supplier hub — jobs, contracts, invoices, Razorpay payouts</w:t>
            </w:r>
          </w:p>
        </w:tc>
      </w:tr>
      <w:tr>
        <w:tc>
          <w:tcPr>
            <w:tcW w:type="dxa" w:w="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i w:val="false"/>
                <w:iCs w:val="false"/>
                <w:color w:val="1D4ED8"/>
                <w:sz w:val="19"/>
                <w:szCs w:val="19"/>
              </w:rPr>
              <w:t xml:space="preserve">7</w:t>
            </w:r>
          </w:p>
        </w:tc>
        <w:tc>
          <w:tcPr>
            <w:tcW w:type="dxa" w:w="2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i w:val="false"/>
                <w:iCs w:val="false"/>
                <w:color w:val="0F172A"/>
                <w:sz w:val="19"/>
                <w:szCs w:val="19"/>
              </w:rPr>
              <w:t xml:space="preserve">Guest / Attendee Portal</w:t>
            </w:r>
          </w:p>
        </w:tc>
        <w:tc>
          <w:tcPr>
            <w:tcW w:type="dxa" w:w="6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i w:val="false"/>
                <w:iCs w:val="false"/>
                <w:color w:val="475569"/>
                <w:sz w:val="19"/>
                <w:szCs w:val="19"/>
              </w:rPr>
              <w:t xml:space="preserve">Final-mile experience — RSVP, QR check-in, live updates, post-event media</w:t>
            </w:r>
          </w:p>
        </w:tc>
      </w:tr>
    </w:tbl>
    <w:p>
      <w:pPr>
        <w:spacing w:after="120" w:before="0"/>
      </w:pPr>
      <w:r>
        <w:t xml:space="preserve"/>
      </w:r>
    </w:p>
    <w:p>
      <w:r>
        <w:br w:type="page"/>
      </w:r>
    </w:p>
    <w:p>
      <w:pPr>
        <w:spacing w:after="200" w:before="0"/>
      </w:pPr>
      <w:r>
        <w:t xml:space="preserve"/>
      </w:r>
    </w:p>
    <w:p>
      <w:pPr>
        <w:spacing w:after="60" w:before="0"/>
      </w:pPr>
      <w:r>
        <w:rPr>
          <w:rFonts w:ascii="Arial" w:cs="Arial" w:eastAsia="Arial" w:hAnsi="Arial"/>
          <w:b/>
          <w:bCs/>
          <w:i w:val="false"/>
          <w:iCs w:val="false"/>
          <w:color w:val="0F172A"/>
          <w:sz w:val="36"/>
          <w:szCs w:val="36"/>
        </w:rPr>
        <w:t xml:space="preserve">Market Opportunity</w:t>
      </w:r>
    </w:p>
    <w:p>
      <w:pPr>
        <w:pBdr>
          <w:bottom w:val="single" w:color="0F172A" w:sz="8" w:space="1"/>
        </w:pBdr>
        <w:spacing w:after="0" w:before="0"/>
      </w:pPr>
      <w:r>
        <w:t xml:space="preserve"/>
      </w:r>
    </w:p>
    <w:p>
      <w:pPr>
        <w:spacing w:after="80" w:before="0"/>
      </w:pPr>
      <w:r>
        <w:t xml:space="preserve"/>
      </w:r>
    </w:p>
    <w:p>
      <w:pPr>
        <w:spacing w:after="120" w:before="0"/>
      </w:pPr>
      <w:r>
        <w:rPr>
          <w:rFonts w:ascii="Arial" w:cs="Arial" w:eastAsia="Arial" w:hAnsi="Arial"/>
          <w:b w:val="false"/>
          <w:bCs w:val="false"/>
          <w:i w:val="false"/>
          <w:iCs w:val="false"/>
          <w:color w:val="475569"/>
          <w:sz w:val="20"/>
          <w:szCs w:val="20"/>
        </w:rPr>
        <w:t xml:space="preserve">OccasionPro operates at the intersection of three massive and growing markets. The platform is designed to capture share across all three simultaneously.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D4ED8" w:sz="1"/>
              <w:left w:val="single" w:color="1D4ED8" w:sz="1"/>
              <w:bottom w:val="single" w:color="1D4ED8" w:sz="1"/>
              <w:right w:val="single" w:color="1D4ED8" w:sz="1"/>
            </w:tcBorders>
            <w:shd w:fill="DBEAFE" w:val="clear"/>
            <w:tcMar>
              <w:top w:type="dxa" w:w="200"/>
              <w:left w:type="dxa" w:w="200"/>
              <w:bottom w:type="dxa" w:w="200"/>
              <w:right w:type="dxa" w:w="200"/>
            </w:tcMar>
            <w:vAlign w:val="center"/>
          </w:tcPr>
          <w:p>
            <w:pPr>
              <w:spacing w:after="60" w:before="0"/>
              <w:jc w:val="center"/>
            </w:pPr>
            <w:r>
              <w:rPr>
                <w:rFonts w:ascii="Arial" w:cs="Arial" w:eastAsia="Arial" w:hAnsi="Arial"/>
                <w:b/>
                <w:bCs/>
                <w:i w:val="false"/>
                <w:iCs w:val="false"/>
                <w:color w:val="1D4ED8"/>
                <w:sz w:val="52"/>
                <w:szCs w:val="52"/>
              </w:rPr>
              <w:t xml:space="preserve">$1.5T</w:t>
            </w:r>
          </w:p>
          <w:p>
            <w:pPr>
              <w:spacing w:after="40" w:before="0"/>
              <w:jc w:val="center"/>
            </w:pPr>
            <w:r>
              <w:rPr>
                <w:rFonts w:ascii="Arial" w:cs="Arial" w:eastAsia="Arial" w:hAnsi="Arial"/>
                <w:b/>
                <w:bCs/>
                <w:i w:val="false"/>
                <w:iCs w:val="false"/>
                <w:color w:val="0F172A"/>
                <w:sz w:val="18"/>
                <w:szCs w:val="18"/>
              </w:rPr>
              <w:t xml:space="preserve">Events Industry</w:t>
            </w:r>
          </w:p>
          <w:p>
            <w:pPr>
              <w:spacing w:after="0" w:before="0"/>
              <w:jc w:val="center"/>
            </w:pPr>
            <w:r>
              <w:rPr>
                <w:rFonts w:ascii="Arial" w:cs="Arial" w:eastAsia="Arial" w:hAnsi="Arial"/>
                <w:b w:val="false"/>
                <w:bCs w:val="false"/>
                <w:i/>
                <w:iCs/>
                <w:color w:val="64748B"/>
                <w:sz w:val="16"/>
                <w:szCs w:val="16"/>
              </w:rPr>
              <w:t xml:space="preserve">Global total market (2024)</w:t>
            </w:r>
          </w:p>
        </w:tc>
        <w:tc>
          <w:tcPr>
            <w:tcW w:type="dxa" w:w="3120"/>
            <w:tcBorders>
              <w:top w:val="single" w:color="06B6D4" w:sz="1"/>
              <w:left w:val="single" w:color="06B6D4" w:sz="1"/>
              <w:bottom w:val="single" w:color="06B6D4" w:sz="1"/>
              <w:right w:val="single" w:color="06B6D4" w:sz="1"/>
            </w:tcBorders>
            <w:shd w:fill="CFFAFE" w:val="clear"/>
            <w:tcMar>
              <w:top w:type="dxa" w:w="200"/>
              <w:left w:type="dxa" w:w="200"/>
              <w:bottom w:type="dxa" w:w="200"/>
              <w:right w:type="dxa" w:w="200"/>
            </w:tcMar>
            <w:vAlign w:val="center"/>
          </w:tcPr>
          <w:p>
            <w:pPr>
              <w:spacing w:after="60" w:before="0"/>
              <w:jc w:val="center"/>
            </w:pPr>
            <w:r>
              <w:rPr>
                <w:rFonts w:ascii="Arial" w:cs="Arial" w:eastAsia="Arial" w:hAnsi="Arial"/>
                <w:b/>
                <w:bCs/>
                <w:i w:val="false"/>
                <w:iCs w:val="false"/>
                <w:color w:val="06B6D4"/>
                <w:sz w:val="52"/>
                <w:szCs w:val="52"/>
              </w:rPr>
              <w:t xml:space="preserve">$18.4B</w:t>
            </w:r>
          </w:p>
          <w:p>
            <w:pPr>
              <w:spacing w:after="40" w:before="0"/>
              <w:jc w:val="center"/>
            </w:pPr>
            <w:r>
              <w:rPr>
                <w:rFonts w:ascii="Arial" w:cs="Arial" w:eastAsia="Arial" w:hAnsi="Arial"/>
                <w:b/>
                <w:bCs/>
                <w:i w:val="false"/>
                <w:iCs w:val="false"/>
                <w:color w:val="0F172A"/>
                <w:sz w:val="18"/>
                <w:szCs w:val="18"/>
              </w:rPr>
              <w:t xml:space="preserve">Event Management Software</w:t>
            </w:r>
          </w:p>
          <w:p>
            <w:pPr>
              <w:spacing w:after="0" w:before="0"/>
              <w:jc w:val="center"/>
            </w:pPr>
            <w:r>
              <w:rPr>
                <w:rFonts w:ascii="Arial" w:cs="Arial" w:eastAsia="Arial" w:hAnsi="Arial"/>
                <w:b w:val="false"/>
                <w:bCs w:val="false"/>
                <w:i/>
                <w:iCs/>
                <w:color w:val="64748B"/>
                <w:sz w:val="16"/>
                <w:szCs w:val="16"/>
              </w:rPr>
              <w:t xml:space="preserve">Projected market by 2030 — 16% CAGR</w:t>
            </w:r>
          </w:p>
        </w:tc>
        <w:tc>
          <w:tcPr>
            <w:tcW w:type="dxa" w:w="3120"/>
            <w:tcBorders>
              <w:top w:val="single" w:color="D97706" w:sz="1"/>
              <w:left w:val="single" w:color="D97706" w:sz="1"/>
              <w:bottom w:val="single" w:color="D97706" w:sz="1"/>
              <w:right w:val="single" w:color="D97706" w:sz="1"/>
            </w:tcBorders>
            <w:shd w:fill="FEF3C7" w:val="clear"/>
            <w:tcMar>
              <w:top w:type="dxa" w:w="200"/>
              <w:left w:type="dxa" w:w="200"/>
              <w:bottom w:type="dxa" w:w="200"/>
              <w:right w:type="dxa" w:w="200"/>
            </w:tcMar>
            <w:vAlign w:val="center"/>
          </w:tcPr>
          <w:p>
            <w:pPr>
              <w:spacing w:after="60" w:before="0"/>
              <w:jc w:val="center"/>
            </w:pPr>
            <w:r>
              <w:rPr>
                <w:rFonts w:ascii="Arial" w:cs="Arial" w:eastAsia="Arial" w:hAnsi="Arial"/>
                <w:b/>
                <w:bCs/>
                <w:i w:val="false"/>
                <w:iCs w:val="false"/>
                <w:color w:val="D97706"/>
                <w:sz w:val="52"/>
                <w:szCs w:val="52"/>
              </w:rPr>
              <w:t xml:space="preserve">$6.4B</w:t>
            </w:r>
          </w:p>
          <w:p>
            <w:pPr>
              <w:spacing w:after="40" w:before="0"/>
              <w:jc w:val="center"/>
            </w:pPr>
            <w:r>
              <w:rPr>
                <w:rFonts w:ascii="Arial" w:cs="Arial" w:eastAsia="Arial" w:hAnsi="Arial"/>
                <w:b/>
                <w:bCs/>
                <w:i w:val="false"/>
                <w:iCs w:val="false"/>
                <w:color w:val="0F172A"/>
                <w:sz w:val="18"/>
                <w:szCs w:val="18"/>
              </w:rPr>
              <w:t xml:space="preserve">Current Software Market</w:t>
            </w:r>
          </w:p>
          <w:p>
            <w:pPr>
              <w:spacing w:after="0" w:before="0"/>
              <w:jc w:val="center"/>
            </w:pPr>
            <w:r>
              <w:rPr>
                <w:rFonts w:ascii="Arial" w:cs="Arial" w:eastAsia="Arial" w:hAnsi="Arial"/>
                <w:b w:val="false"/>
                <w:bCs w:val="false"/>
                <w:i/>
                <w:iCs/>
                <w:color w:val="64748B"/>
                <w:sz w:val="16"/>
                <w:szCs w:val="16"/>
              </w:rPr>
              <w:t xml:space="preserve">Today — highly underpenetrated</w:t>
            </w:r>
          </w:p>
        </w:tc>
      </w:tr>
    </w:tbl>
    <w:p>
      <w:pPr>
        <w:spacing w:after="160" w:before="0"/>
      </w:pPr>
      <w:r>
        <w:t xml:space="preserve"/>
      </w:r>
    </w:p>
    <w:p>
      <w:pPr>
        <w:spacing w:after="80" w:before="160"/>
      </w:pPr>
      <w:r>
        <w:rPr>
          <w:rFonts w:ascii="Arial" w:cs="Arial" w:eastAsia="Arial" w:hAnsi="Arial"/>
          <w:b/>
          <w:bCs/>
          <w:i w:val="false"/>
          <w:iCs w:val="false"/>
          <w:color w:val="1D4ED8"/>
          <w:sz w:val="24"/>
          <w:szCs w:val="24"/>
        </w:rPr>
        <w:t xml:space="preserve">Market Segmentation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0F172A" w:sz="1"/>
              <w:left w:val="single" w:color="0F172A" w:sz="1"/>
              <w:bottom w:val="single" w:color="0F172A" w:sz="1"/>
              <w:right w:val="single" w:color="0F172A" w:sz="1"/>
            </w:tcBorders>
            <w:shd w:fill="0F172A" w:val="clear"/>
            <w:tcMar>
              <w:top w:type="dxa" w:w="80"/>
              <w:left w:type="dxa" w:w="140"/>
              <w:bottom w:type="dxa" w:w="80"/>
              <w:right w:type="dxa" w:w="140"/>
            </w:tcMar>
          </w:tcPr>
          <w:p>
            <w:r>
              <w:rPr>
                <w:rFonts w:ascii="Arial" w:cs="Arial" w:eastAsia="Arial" w:hAnsi="Arial"/>
                <w:b/>
                <w:bCs/>
                <w:i w:val="false"/>
                <w:iCs w:val="false"/>
                <w:color w:val="FFFFFF"/>
                <w:sz w:val="18"/>
                <w:szCs w:val="18"/>
              </w:rPr>
              <w:t xml:space="preserve">Segment</w:t>
            </w:r>
          </w:p>
        </w:tc>
        <w:tc>
          <w:tcPr>
            <w:tcW w:type="dxa" w:w="2000"/>
            <w:tcBorders>
              <w:top w:val="single" w:color="0F172A" w:sz="1"/>
              <w:left w:val="single" w:color="0F172A" w:sz="1"/>
              <w:bottom w:val="single" w:color="0F172A" w:sz="1"/>
              <w:right w:val="single" w:color="0F172A" w:sz="1"/>
            </w:tcBorders>
            <w:shd w:fill="0F172A" w:val="clear"/>
            <w:tcMar>
              <w:top w:type="dxa" w:w="80"/>
              <w:left w:type="dxa" w:w="140"/>
              <w:bottom w:type="dxa" w:w="80"/>
              <w:right w:type="dxa" w:w="140"/>
            </w:tcMar>
          </w:tcPr>
          <w:p>
            <w:r>
              <w:rPr>
                <w:rFonts w:ascii="Arial" w:cs="Arial" w:eastAsia="Arial" w:hAnsi="Arial"/>
                <w:b/>
                <w:bCs/>
                <w:i w:val="false"/>
                <w:iCs w:val="false"/>
                <w:color w:val="FFFFFF"/>
                <w:sz w:val="18"/>
                <w:szCs w:val="18"/>
              </w:rPr>
              <w:t xml:space="preserve">Market Size</w:t>
            </w:r>
          </w:p>
        </w:tc>
        <w:tc>
          <w:tcPr>
            <w:tcW w:type="dxa" w:w="5560"/>
            <w:tcBorders>
              <w:top w:val="single" w:color="0F172A" w:sz="1"/>
              <w:left w:val="single" w:color="0F172A" w:sz="1"/>
              <w:bottom w:val="single" w:color="0F172A" w:sz="1"/>
              <w:right w:val="single" w:color="0F172A" w:sz="1"/>
            </w:tcBorders>
            <w:shd w:fill="0F172A" w:val="clear"/>
            <w:tcMar>
              <w:top w:type="dxa" w:w="80"/>
              <w:left w:type="dxa" w:w="140"/>
              <w:bottom w:type="dxa" w:w="80"/>
              <w:right w:type="dxa" w:w="140"/>
            </w:tcMar>
          </w:tcPr>
          <w:p>
            <w:r>
              <w:rPr>
                <w:rFonts w:ascii="Arial" w:cs="Arial" w:eastAsia="Arial" w:hAnsi="Arial"/>
                <w:b/>
                <w:bCs/>
                <w:i w:val="false"/>
                <w:iCs w:val="false"/>
                <w:color w:val="FFFFFF"/>
                <w:sz w:val="18"/>
                <w:szCs w:val="18"/>
              </w:rPr>
              <w:t xml:space="preserve">OccasionPro Entry Point</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i w:val="false"/>
                <w:iCs w:val="false"/>
                <w:color w:val="1D4ED8"/>
                <w:sz w:val="20"/>
                <w:szCs w:val="20"/>
              </w:rPr>
              <w:t xml:space="preserve">TAM</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i w:val="false"/>
                <w:iCs w:val="false"/>
                <w:color w:val="0F172A"/>
                <w:sz w:val="20"/>
                <w:szCs w:val="20"/>
              </w:rPr>
              <w:t xml:space="preserve">$1.5 Trillion</w:t>
            </w:r>
          </w:p>
        </w:tc>
        <w:tc>
          <w:tcPr>
            <w:tcW w:type="dxa" w:w="5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i w:val="false"/>
                <w:iCs w:val="false"/>
                <w:color w:val="475569"/>
                <w:sz w:val="19"/>
                <w:szCs w:val="19"/>
              </w:rPr>
              <w:t xml:space="preserve">All global events and associated services — weddings, corporate, entertainment, government, sports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i w:val="false"/>
                <w:iCs w:val="false"/>
                <w:color w:val="1D4ED8"/>
                <w:sz w:val="20"/>
                <w:szCs w:val="20"/>
              </w:rPr>
              <w:t xml:space="preserve">SAM</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i w:val="false"/>
                <w:iCs w:val="false"/>
                <w:color w:val="0F172A"/>
                <w:sz w:val="20"/>
                <w:szCs w:val="20"/>
              </w:rPr>
              <w:t xml:space="preserve">$18.4 Billion</w:t>
            </w:r>
          </w:p>
        </w:tc>
        <w:tc>
          <w:tcPr>
            <w:tcW w:type="dxa" w:w="5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475569"/>
                <w:sz w:val="19"/>
                <w:szCs w:val="19"/>
              </w:rPr>
              <w:t xml:space="preserve">Event companies and agencies that can adopt software — our direct addressable software market</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i w:val="false"/>
                <w:iCs w:val="false"/>
                <w:color w:val="1D4ED8"/>
                <w:sz w:val="20"/>
                <w:szCs w:val="20"/>
              </w:rPr>
              <w:t xml:space="preserve">SOM</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i w:val="false"/>
                <w:iCs w:val="false"/>
                <w:color w:val="0F172A"/>
                <w:sz w:val="20"/>
                <w:szCs w:val="20"/>
              </w:rPr>
              <w:t xml:space="preserve">$850 Million</w:t>
            </w:r>
          </w:p>
        </w:tc>
        <w:tc>
          <w:tcPr>
            <w:tcW w:type="dxa" w:w="5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i w:val="false"/>
                <w:iCs w:val="false"/>
                <w:color w:val="475569"/>
                <w:sz w:val="19"/>
                <w:szCs w:val="19"/>
              </w:rPr>
              <w:t xml:space="preserve">Tech-forward event companies globally seeking an AI-native, all-in-one operations platform</w:t>
            </w:r>
          </w:p>
        </w:tc>
      </w:tr>
    </w:tbl>
    <w:p>
      <w:pPr>
        <w:spacing w:after="120" w:before="0"/>
      </w:pPr>
      <w:r>
        <w:t xml:space="preserve"/>
      </w:r>
    </w:p>
    <w:p>
      <w:pPr>
        <w:spacing w:after="80" w:before="160"/>
      </w:pPr>
      <w:r>
        <w:rPr>
          <w:rFonts w:ascii="Arial" w:cs="Arial" w:eastAsia="Arial" w:hAnsi="Arial"/>
          <w:b/>
          <w:bCs/>
          <w:i w:val="false"/>
          <w:iCs w:val="false"/>
          <w:color w:val="1D4ED8"/>
          <w:sz w:val="24"/>
          <w:szCs w:val="24"/>
        </w:rPr>
        <w:t xml:space="preserve">Growth Drivers</w:t>
      </w:r>
    </w:p>
    <w:p>
      <w:pPr>
        <w:pStyle w:val="ListParagraph"/>
        <w:numPr>
          <w:ilvl w:val="0"/>
          <w:numId w:val="3"/>
        </w:numPr>
        <w:spacing w:after="30" w:before="30"/>
      </w:pPr>
      <w:r>
        <w:rPr>
          <w:rFonts w:ascii="Arial" w:cs="Arial" w:eastAsia="Arial" w:hAnsi="Arial"/>
          <w:b w:val="false"/>
          <w:bCs w:val="false"/>
          <w:i w:val="false"/>
          <w:iCs w:val="false"/>
          <w:color w:val="475569"/>
          <w:sz w:val="20"/>
          <w:szCs w:val="20"/>
        </w:rPr>
        <w:t xml:space="preserve">Post-pandemic event surge — the global events industry is experiencing its strongest growth decade in history</w:t>
      </w:r>
    </w:p>
    <w:p>
      <w:pPr>
        <w:pStyle w:val="ListParagraph"/>
        <w:numPr>
          <w:ilvl w:val="0"/>
          <w:numId w:val="3"/>
        </w:numPr>
        <w:spacing w:after="30" w:before="30"/>
      </w:pPr>
      <w:r>
        <w:rPr>
          <w:rFonts w:ascii="Arial" w:cs="Arial" w:eastAsia="Arial" w:hAnsi="Arial"/>
          <w:b w:val="false"/>
          <w:bCs w:val="false"/>
          <w:i w:val="false"/>
          <w:iCs w:val="false"/>
          <w:color w:val="475569"/>
          <w:sz w:val="20"/>
          <w:szCs w:val="20"/>
        </w:rPr>
        <w:t xml:space="preserve">AI adoption in enterprise software — companies are actively replacing legacy tools with AI-native platforms</w:t>
      </w:r>
    </w:p>
    <w:p>
      <w:pPr>
        <w:pStyle w:val="ListParagraph"/>
        <w:numPr>
          <w:ilvl w:val="0"/>
          <w:numId w:val="3"/>
        </w:numPr>
        <w:spacing w:after="30" w:before="30"/>
      </w:pPr>
      <w:r>
        <w:rPr>
          <w:rFonts w:ascii="Arial" w:cs="Arial" w:eastAsia="Arial" w:hAnsi="Arial"/>
          <w:b w:val="false"/>
          <w:bCs w:val="false"/>
          <w:i w:val="false"/>
          <w:iCs w:val="false"/>
          <w:color w:val="475569"/>
          <w:sz w:val="20"/>
          <w:szCs w:val="20"/>
        </w:rPr>
        <w:t xml:space="preserve">Rising demand for hybrid and virtual event capabilities — new event formats require new infrastructure</w:t>
      </w:r>
    </w:p>
    <w:p>
      <w:pPr>
        <w:pStyle w:val="ListParagraph"/>
        <w:numPr>
          <w:ilvl w:val="0"/>
          <w:numId w:val="3"/>
        </w:numPr>
        <w:spacing w:after="30" w:before="30"/>
      </w:pPr>
      <w:r>
        <w:rPr>
          <w:rFonts w:ascii="Arial" w:cs="Arial" w:eastAsia="Arial" w:hAnsi="Arial"/>
          <w:b w:val="false"/>
          <w:bCs w:val="false"/>
          <w:i w:val="false"/>
          <w:iCs w:val="false"/>
          <w:color w:val="475569"/>
          <w:sz w:val="20"/>
          <w:szCs w:val="20"/>
        </w:rPr>
        <w:t xml:space="preserve">Professionalisation of the events industry — solo planners and boutique agencies moving to enterprise tools</w:t>
      </w:r>
    </w:p>
    <w:p>
      <w:pPr>
        <w:pStyle w:val="ListParagraph"/>
        <w:numPr>
          <w:ilvl w:val="0"/>
          <w:numId w:val="3"/>
        </w:numPr>
        <w:spacing w:after="30" w:before="30"/>
      </w:pPr>
      <w:r>
        <w:rPr>
          <w:rFonts w:ascii="Arial" w:cs="Arial" w:eastAsia="Arial" w:hAnsi="Arial"/>
          <w:b w:val="false"/>
          <w:bCs w:val="false"/>
          <w:i w:val="false"/>
          <w:iCs w:val="false"/>
          <w:color w:val="475569"/>
          <w:sz w:val="20"/>
          <w:szCs w:val="20"/>
        </w:rPr>
        <w:t xml:space="preserve">India's booming wedding and corporate events market — one of the largest and fastest-growing event markets globally</w:t>
      </w:r>
    </w:p>
    <w:p>
      <w:pPr>
        <w:pStyle w:val="ListParagraph"/>
        <w:numPr>
          <w:ilvl w:val="0"/>
          <w:numId w:val="3"/>
        </w:numPr>
        <w:spacing w:after="30" w:before="30"/>
      </w:pPr>
      <w:r>
        <w:rPr>
          <w:rFonts w:ascii="Arial" w:cs="Arial" w:eastAsia="Arial" w:hAnsi="Arial"/>
          <w:b w:val="false"/>
          <w:bCs w:val="false"/>
          <w:i w:val="false"/>
          <w:iCs w:val="false"/>
          <w:color w:val="475569"/>
          <w:sz w:val="20"/>
          <w:szCs w:val="20"/>
        </w:rPr>
        <w:t xml:space="preserve">Government and public sector digitisation — national events and summits require sophisticated operational platforms</w:t>
      </w:r>
    </w:p>
    <w:p>
      <w:pPr>
        <w:spacing w:after="120" w:before="0"/>
      </w:pPr>
      <w:r>
        <w:t xml:space="preserve"/>
      </w:r>
    </w:p>
    <w:p>
      <w:r>
        <w:br w:type="page"/>
      </w:r>
    </w:p>
    <w:p>
      <w:pPr>
        <w:spacing w:after="200" w:before="0"/>
      </w:pPr>
      <w:r>
        <w:t xml:space="preserve"/>
      </w:r>
    </w:p>
    <w:p>
      <w:pPr>
        <w:spacing w:after="60" w:before="0"/>
      </w:pPr>
      <w:r>
        <w:rPr>
          <w:rFonts w:ascii="Arial" w:cs="Arial" w:eastAsia="Arial" w:hAnsi="Arial"/>
          <w:b/>
          <w:bCs/>
          <w:i w:val="false"/>
          <w:iCs w:val="false"/>
          <w:color w:val="0F172A"/>
          <w:sz w:val="36"/>
          <w:szCs w:val="36"/>
        </w:rPr>
        <w:t xml:space="preserve">Competitive Landscape</w:t>
      </w:r>
    </w:p>
    <w:p>
      <w:pPr>
        <w:pBdr>
          <w:bottom w:val="single" w:color="0F172A" w:sz="8" w:space="1"/>
        </w:pBdr>
        <w:spacing w:after="0" w:before="0"/>
      </w:pPr>
      <w:r>
        <w:t xml:space="preserve"/>
      </w:r>
    </w:p>
    <w:p>
      <w:pPr>
        <w:spacing w:after="80" w:before="0"/>
      </w:pPr>
      <w:r>
        <w:t xml:space="preserve"/>
      </w:r>
    </w:p>
    <w:p>
      <w:pPr>
        <w:spacing w:after="120" w:before="0"/>
      </w:pPr>
      <w:r>
        <w:rPr>
          <w:rFonts w:ascii="Arial" w:cs="Arial" w:eastAsia="Arial" w:hAnsi="Arial"/>
          <w:b w:val="false"/>
          <w:bCs w:val="false"/>
          <w:i w:val="false"/>
          <w:iCs w:val="false"/>
          <w:color w:val="475569"/>
          <w:sz w:val="20"/>
          <w:szCs w:val="20"/>
        </w:rPr>
        <w:t xml:space="preserve">The event management software space has several players — but none have built a true operating system. Each competitor solves one dimension of the problem. OccasionPro solves all of them.</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300"/>
        <w:gridCol w:w="1300"/>
        <w:gridCol w:w="1300"/>
        <w:gridCol w:w="1200"/>
        <w:gridCol w:w="960"/>
      </w:tblGrid>
      <w:tr>
        <w:tc>
          <w:tcPr>
            <w:tcW w:type="dxa" w:w="180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Platform</w:t>
            </w:r>
          </w:p>
        </w:tc>
        <w:tc>
          <w:tcPr>
            <w:tcW w:type="dxa" w:w="1500"/>
            <w:tcBorders>
              <w:top w:val="single" w:color="0F172A" w:sz="1"/>
              <w:left w:val="single" w:color="0F172A" w:sz="1"/>
              <w:bottom w:val="single" w:color="0F172A" w:sz="1"/>
              <w:right w:val="single" w:color="0F172A" w:sz="1"/>
            </w:tcBorders>
            <w:shd w:fill="0F172A" w:val="clear"/>
            <w:tcMar>
              <w:top w:type="dxa" w:w="80"/>
              <w:left w:type="dxa" w:w="80"/>
              <w:bottom w:type="dxa" w:w="80"/>
              <w:right w:type="dxa" w:w="80"/>
            </w:tcMar>
          </w:tcPr>
          <w:p>
            <w:pPr>
              <w:jc w:val="center"/>
            </w:pPr>
            <w:r>
              <w:rPr>
                <w:rFonts w:ascii="Arial" w:cs="Arial" w:eastAsia="Arial" w:hAnsi="Arial"/>
                <w:b/>
                <w:bCs/>
                <w:i w:val="false"/>
                <w:iCs w:val="false"/>
                <w:color w:val="FFFFFF"/>
                <w:sz w:val="15"/>
                <w:szCs w:val="15"/>
              </w:rPr>
              <w:t xml:space="preserve">AI-Native</w:t>
            </w:r>
          </w:p>
        </w:tc>
        <w:tc>
          <w:tcPr>
            <w:tcW w:type="dxa" w:w="1300"/>
            <w:tcBorders>
              <w:top w:val="single" w:color="0F172A" w:sz="1"/>
              <w:left w:val="single" w:color="0F172A" w:sz="1"/>
              <w:bottom w:val="single" w:color="0F172A" w:sz="1"/>
              <w:right w:val="single" w:color="0F172A" w:sz="1"/>
            </w:tcBorders>
            <w:shd w:fill="0F172A" w:val="clear"/>
            <w:tcMar>
              <w:top w:type="dxa" w:w="80"/>
              <w:left w:type="dxa" w:w="80"/>
              <w:bottom w:type="dxa" w:w="80"/>
              <w:right w:type="dxa" w:w="80"/>
            </w:tcMar>
          </w:tcPr>
          <w:p>
            <w:pPr>
              <w:jc w:val="center"/>
            </w:pPr>
            <w:r>
              <w:rPr>
                <w:rFonts w:ascii="Arial" w:cs="Arial" w:eastAsia="Arial" w:hAnsi="Arial"/>
                <w:b/>
                <w:bCs/>
                <w:i w:val="false"/>
                <w:iCs w:val="false"/>
                <w:color w:val="FFFFFF"/>
                <w:sz w:val="15"/>
                <w:szCs w:val="15"/>
              </w:rPr>
              <w:t xml:space="preserve">Offline Sync</w:t>
            </w:r>
          </w:p>
        </w:tc>
        <w:tc>
          <w:tcPr>
            <w:tcW w:type="dxa" w:w="1300"/>
            <w:tcBorders>
              <w:top w:val="single" w:color="0F172A" w:sz="1"/>
              <w:left w:val="single" w:color="0F172A" w:sz="1"/>
              <w:bottom w:val="single" w:color="0F172A" w:sz="1"/>
              <w:right w:val="single" w:color="0F172A" w:sz="1"/>
            </w:tcBorders>
            <w:shd w:fill="0F172A" w:val="clear"/>
            <w:tcMar>
              <w:top w:type="dxa" w:w="80"/>
              <w:left w:type="dxa" w:w="80"/>
              <w:bottom w:type="dxa" w:w="80"/>
              <w:right w:type="dxa" w:w="80"/>
            </w:tcMar>
          </w:tcPr>
          <w:p>
            <w:pPr>
              <w:jc w:val="center"/>
            </w:pPr>
            <w:r>
              <w:rPr>
                <w:rFonts w:ascii="Arial" w:cs="Arial" w:eastAsia="Arial" w:hAnsi="Arial"/>
                <w:b/>
                <w:bCs/>
                <w:i w:val="false"/>
                <w:iCs w:val="false"/>
                <w:color w:val="FFFFFF"/>
                <w:sz w:val="15"/>
                <w:szCs w:val="15"/>
              </w:rPr>
              <w:t xml:space="preserve">All Event Types</w:t>
            </w:r>
          </w:p>
        </w:tc>
        <w:tc>
          <w:tcPr>
            <w:tcW w:type="dxa" w:w="1300"/>
            <w:tcBorders>
              <w:top w:val="single" w:color="0F172A" w:sz="1"/>
              <w:left w:val="single" w:color="0F172A" w:sz="1"/>
              <w:bottom w:val="single" w:color="0F172A" w:sz="1"/>
              <w:right w:val="single" w:color="0F172A" w:sz="1"/>
            </w:tcBorders>
            <w:shd w:fill="0F172A" w:val="clear"/>
            <w:tcMar>
              <w:top w:type="dxa" w:w="80"/>
              <w:left w:type="dxa" w:w="80"/>
              <w:bottom w:type="dxa" w:w="80"/>
              <w:right w:type="dxa" w:w="80"/>
            </w:tcMar>
          </w:tcPr>
          <w:p>
            <w:pPr>
              <w:jc w:val="center"/>
            </w:pPr>
            <w:r>
              <w:rPr>
                <w:rFonts w:ascii="Arial" w:cs="Arial" w:eastAsia="Arial" w:hAnsi="Arial"/>
                <w:b/>
                <w:bCs/>
                <w:i w:val="false"/>
                <w:iCs w:val="false"/>
                <w:color w:val="FFFFFF"/>
                <w:sz w:val="15"/>
                <w:szCs w:val="15"/>
              </w:rPr>
              <w:t xml:space="preserve">Guest Portal</w:t>
            </w:r>
          </w:p>
        </w:tc>
        <w:tc>
          <w:tcPr>
            <w:tcW w:type="dxa" w:w="1200"/>
            <w:tcBorders>
              <w:top w:val="single" w:color="0F172A" w:sz="1"/>
              <w:left w:val="single" w:color="0F172A" w:sz="1"/>
              <w:bottom w:val="single" w:color="0F172A" w:sz="1"/>
              <w:right w:val="single" w:color="0F172A" w:sz="1"/>
            </w:tcBorders>
            <w:shd w:fill="0F172A" w:val="clear"/>
            <w:tcMar>
              <w:top w:type="dxa" w:w="80"/>
              <w:left w:type="dxa" w:w="80"/>
              <w:bottom w:type="dxa" w:w="80"/>
              <w:right w:type="dxa" w:w="80"/>
            </w:tcMar>
          </w:tcPr>
          <w:p>
            <w:pPr>
              <w:jc w:val="center"/>
            </w:pPr>
            <w:r>
              <w:rPr>
                <w:rFonts w:ascii="Arial" w:cs="Arial" w:eastAsia="Arial" w:hAnsi="Arial"/>
                <w:b/>
                <w:bCs/>
                <w:i w:val="false"/>
                <w:iCs w:val="false"/>
                <w:color w:val="FFFFFF"/>
                <w:sz w:val="15"/>
                <w:szCs w:val="15"/>
              </w:rPr>
              <w:t xml:space="preserve">White-Label</w:t>
            </w:r>
          </w:p>
        </w:tc>
        <w:tc>
          <w:tcPr>
            <w:tcW w:type="dxa" w:w="960"/>
            <w:tcBorders>
              <w:top w:val="single" w:color="0F172A" w:sz="1"/>
              <w:left w:val="single" w:color="0F172A" w:sz="1"/>
              <w:bottom w:val="single" w:color="0F172A" w:sz="1"/>
              <w:right w:val="single" w:color="0F172A" w:sz="1"/>
            </w:tcBorders>
            <w:shd w:fill="0F172A" w:val="clear"/>
            <w:tcMar>
              <w:top w:type="dxa" w:w="80"/>
              <w:left w:type="dxa" w:w="80"/>
              <w:bottom w:type="dxa" w:w="80"/>
              <w:right w:type="dxa" w:w="80"/>
            </w:tcMar>
          </w:tcPr>
          <w:p>
            <w:pPr>
              <w:jc w:val="center"/>
            </w:pPr>
            <w:r>
              <w:rPr>
                <w:rFonts w:ascii="Arial" w:cs="Arial" w:eastAsia="Arial" w:hAnsi="Arial"/>
                <w:b/>
                <w:bCs/>
                <w:i w:val="false"/>
                <w:iCs w:val="false"/>
                <w:color w:val="FFFFFF"/>
                <w:sz w:val="15"/>
                <w:szCs w:val="15"/>
              </w:rPr>
              <w:t xml:space="preserve">Free Tier</w:t>
            </w:r>
          </w:p>
        </w:tc>
      </w:tr>
      <w:tr>
        <w:tc>
          <w:tcPr>
            <w:tcW w:type="dxa" w:w="18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i w:val="false"/>
                <w:iCs w:val="false"/>
                <w:color w:val="1D4ED8"/>
                <w:sz w:val="18"/>
                <w:szCs w:val="18"/>
              </w:rPr>
              <w:t xml:space="preserve">OccasionPro</w:t>
            </w:r>
          </w:p>
        </w:tc>
        <w:tc>
          <w:tcPr>
            <w:tcW w:type="dxa" w:w="1500"/>
            <w:tcBorders>
              <w:top w:val="single" w:color="CBD5E1" w:sz="1"/>
              <w:left w:val="single" w:color="CBD5E1" w:sz="1"/>
              <w:bottom w:val="single" w:color="CBD5E1" w:sz="1"/>
              <w:right w:val="single" w:color="CBD5E1" w:sz="1"/>
            </w:tcBorders>
            <w:shd w:fill="DBEAFE" w:val="clear"/>
            <w:tcMar>
              <w:top w:type="dxa" w:w="80"/>
              <w:left w:type="dxa" w:w="80"/>
              <w:bottom w:type="dxa" w:w="80"/>
              <w:right w:type="dxa" w:w="80"/>
            </w:tcMar>
          </w:tcPr>
          <w:p>
            <w:pPr>
              <w:jc w:val="center"/>
            </w:pPr>
            <w:r>
              <w:rPr>
                <w:rFonts w:ascii="Arial" w:cs="Arial" w:eastAsia="Arial" w:hAnsi="Arial"/>
                <w:b/>
                <w:bCs/>
                <w:i w:val="false"/>
                <w:iCs w:val="false"/>
                <w:color w:val="15803D"/>
                <w:sz w:val="20"/>
                <w:szCs w:val="20"/>
              </w:rPr>
              <w:t xml:space="preserve">✓</w:t>
            </w:r>
          </w:p>
        </w:tc>
        <w:tc>
          <w:tcPr>
            <w:tcW w:type="dxa" w:w="1300"/>
            <w:tcBorders>
              <w:top w:val="single" w:color="CBD5E1" w:sz="1"/>
              <w:left w:val="single" w:color="CBD5E1" w:sz="1"/>
              <w:bottom w:val="single" w:color="CBD5E1" w:sz="1"/>
              <w:right w:val="single" w:color="CBD5E1" w:sz="1"/>
            </w:tcBorders>
            <w:shd w:fill="DBEAFE" w:val="clear"/>
            <w:tcMar>
              <w:top w:type="dxa" w:w="80"/>
              <w:left w:type="dxa" w:w="80"/>
              <w:bottom w:type="dxa" w:w="80"/>
              <w:right w:type="dxa" w:w="80"/>
            </w:tcMar>
          </w:tcPr>
          <w:p>
            <w:pPr>
              <w:jc w:val="center"/>
            </w:pPr>
            <w:r>
              <w:rPr>
                <w:rFonts w:ascii="Arial" w:cs="Arial" w:eastAsia="Arial" w:hAnsi="Arial"/>
                <w:b/>
                <w:bCs/>
                <w:i w:val="false"/>
                <w:iCs w:val="false"/>
                <w:color w:val="15803D"/>
                <w:sz w:val="20"/>
                <w:szCs w:val="20"/>
              </w:rPr>
              <w:t xml:space="preserve">✓</w:t>
            </w:r>
          </w:p>
        </w:tc>
        <w:tc>
          <w:tcPr>
            <w:tcW w:type="dxa" w:w="1300"/>
            <w:tcBorders>
              <w:top w:val="single" w:color="CBD5E1" w:sz="1"/>
              <w:left w:val="single" w:color="CBD5E1" w:sz="1"/>
              <w:bottom w:val="single" w:color="CBD5E1" w:sz="1"/>
              <w:right w:val="single" w:color="CBD5E1" w:sz="1"/>
            </w:tcBorders>
            <w:shd w:fill="DBEAFE" w:val="clear"/>
            <w:tcMar>
              <w:top w:type="dxa" w:w="80"/>
              <w:left w:type="dxa" w:w="80"/>
              <w:bottom w:type="dxa" w:w="80"/>
              <w:right w:type="dxa" w:w="80"/>
            </w:tcMar>
          </w:tcPr>
          <w:p>
            <w:pPr>
              <w:jc w:val="center"/>
            </w:pPr>
            <w:r>
              <w:rPr>
                <w:rFonts w:ascii="Arial" w:cs="Arial" w:eastAsia="Arial" w:hAnsi="Arial"/>
                <w:b/>
                <w:bCs/>
                <w:i w:val="false"/>
                <w:iCs w:val="false"/>
                <w:color w:val="15803D"/>
                <w:sz w:val="20"/>
                <w:szCs w:val="20"/>
              </w:rPr>
              <w:t xml:space="preserve">✓</w:t>
            </w:r>
          </w:p>
        </w:tc>
        <w:tc>
          <w:tcPr>
            <w:tcW w:type="dxa" w:w="1300"/>
            <w:tcBorders>
              <w:top w:val="single" w:color="CBD5E1" w:sz="1"/>
              <w:left w:val="single" w:color="CBD5E1" w:sz="1"/>
              <w:bottom w:val="single" w:color="CBD5E1" w:sz="1"/>
              <w:right w:val="single" w:color="CBD5E1" w:sz="1"/>
            </w:tcBorders>
            <w:shd w:fill="DBEAFE" w:val="clear"/>
            <w:tcMar>
              <w:top w:type="dxa" w:w="80"/>
              <w:left w:type="dxa" w:w="80"/>
              <w:bottom w:type="dxa" w:w="80"/>
              <w:right w:type="dxa" w:w="80"/>
            </w:tcMar>
          </w:tcPr>
          <w:p>
            <w:pPr>
              <w:jc w:val="center"/>
            </w:pPr>
            <w:r>
              <w:rPr>
                <w:rFonts w:ascii="Arial" w:cs="Arial" w:eastAsia="Arial" w:hAnsi="Arial"/>
                <w:b/>
                <w:bCs/>
                <w:i w:val="false"/>
                <w:iCs w:val="false"/>
                <w:color w:val="15803D"/>
                <w:sz w:val="20"/>
                <w:szCs w:val="20"/>
              </w:rPr>
              <w:t xml:space="preserve">✓</w:t>
            </w:r>
          </w:p>
        </w:tc>
        <w:tc>
          <w:tcPr>
            <w:tcW w:type="dxa" w:w="1200"/>
            <w:tcBorders>
              <w:top w:val="single" w:color="CBD5E1" w:sz="1"/>
              <w:left w:val="single" w:color="CBD5E1" w:sz="1"/>
              <w:bottom w:val="single" w:color="CBD5E1" w:sz="1"/>
              <w:right w:val="single" w:color="CBD5E1" w:sz="1"/>
            </w:tcBorders>
            <w:shd w:fill="DBEAFE" w:val="clear"/>
            <w:tcMar>
              <w:top w:type="dxa" w:w="80"/>
              <w:left w:type="dxa" w:w="80"/>
              <w:bottom w:type="dxa" w:w="80"/>
              <w:right w:type="dxa" w:w="80"/>
            </w:tcMar>
          </w:tcPr>
          <w:p>
            <w:pPr>
              <w:jc w:val="center"/>
            </w:pPr>
            <w:r>
              <w:rPr>
                <w:rFonts w:ascii="Arial" w:cs="Arial" w:eastAsia="Arial" w:hAnsi="Arial"/>
                <w:b/>
                <w:bCs/>
                <w:i w:val="false"/>
                <w:iCs w:val="false"/>
                <w:color w:val="15803D"/>
                <w:sz w:val="20"/>
                <w:szCs w:val="20"/>
              </w:rPr>
              <w:t xml:space="preserve">✓</w:t>
            </w:r>
          </w:p>
        </w:tc>
        <w:tc>
          <w:tcPr>
            <w:tcW w:type="dxa" w:w="960"/>
            <w:tcBorders>
              <w:top w:val="single" w:color="CBD5E1" w:sz="1"/>
              <w:left w:val="single" w:color="CBD5E1" w:sz="1"/>
              <w:bottom w:val="single" w:color="CBD5E1" w:sz="1"/>
              <w:right w:val="single" w:color="CBD5E1" w:sz="1"/>
            </w:tcBorders>
            <w:shd w:fill="DBEAFE" w:val="clear"/>
            <w:tcMar>
              <w:top w:type="dxa" w:w="80"/>
              <w:left w:type="dxa" w:w="80"/>
              <w:bottom w:type="dxa" w:w="80"/>
              <w:right w:type="dxa" w:w="80"/>
            </w:tcMar>
          </w:tcPr>
          <w:p>
            <w:pPr>
              <w:jc w:val="center"/>
            </w:pPr>
            <w:r>
              <w:rPr>
                <w:rFonts w:ascii="Arial" w:cs="Arial" w:eastAsia="Arial" w:hAnsi="Arial"/>
                <w:b/>
                <w:bCs/>
                <w:i w:val="false"/>
                <w:iCs w:val="false"/>
                <w:color w:val="15803D"/>
                <w:sz w:val="20"/>
                <w:szCs w:val="20"/>
              </w:rPr>
              <w:t xml:space="preserv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18"/>
                <w:szCs w:val="18"/>
              </w:rPr>
              <w:t xml:space="preserve">Cvent</w:t>
            </w:r>
          </w:p>
        </w:tc>
        <w:tc>
          <w:tcPr>
            <w:tcW w:type="dxa" w:w="1500"/>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tcPr>
          <w:p>
            <w:pPr>
              <w:jc w:val="center"/>
            </w:pPr>
            <w:r>
              <w:rPr>
                <w:rFonts w:ascii="Arial" w:cs="Arial" w:eastAsia="Arial" w:hAnsi="Arial"/>
                <w:b/>
                <w:bCs/>
                <w:i w:val="false"/>
                <w:iCs w:val="false"/>
                <w:color w:val="DC2626"/>
                <w:sz w:val="20"/>
                <w:szCs w:val="20"/>
              </w:rPr>
              <w:t xml:space="preserve">✗</w:t>
            </w:r>
          </w:p>
        </w:tc>
        <w:tc>
          <w:tcPr>
            <w:tcW w:type="dxa" w:w="1300"/>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tcPr>
          <w:p>
            <w:pPr>
              <w:jc w:val="center"/>
            </w:pPr>
            <w:r>
              <w:rPr>
                <w:rFonts w:ascii="Arial" w:cs="Arial" w:eastAsia="Arial" w:hAnsi="Arial"/>
                <w:b/>
                <w:bCs/>
                <w:i w:val="false"/>
                <w:iCs w:val="false"/>
                <w:color w:val="DC2626"/>
                <w:sz w:val="20"/>
                <w:szCs w:val="20"/>
              </w:rPr>
              <w:t xml:space="preserve">✗</w:t>
            </w:r>
          </w:p>
        </w:tc>
        <w:tc>
          <w:tcPr>
            <w:tcW w:type="dxa" w:w="1300"/>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tcPr>
          <w:p>
            <w:pPr>
              <w:jc w:val="center"/>
            </w:pPr>
            <w:r>
              <w:rPr>
                <w:rFonts w:ascii="Arial" w:cs="Arial" w:eastAsia="Arial" w:hAnsi="Arial"/>
                <w:b/>
                <w:bCs/>
                <w:i w:val="false"/>
                <w:iCs w:val="false"/>
                <w:color w:val="D97706"/>
                <w:sz w:val="20"/>
                <w:szCs w:val="20"/>
              </w:rPr>
              <w:t xml:space="preserve">~</w:t>
            </w:r>
          </w:p>
        </w:tc>
        <w:tc>
          <w:tcPr>
            <w:tcW w:type="dxa" w:w="1300"/>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tcPr>
          <w:p>
            <w:pPr>
              <w:jc w:val="center"/>
            </w:pPr>
            <w:r>
              <w:rPr>
                <w:rFonts w:ascii="Arial" w:cs="Arial" w:eastAsia="Arial" w:hAnsi="Arial"/>
                <w:b/>
                <w:bCs/>
                <w:i w:val="false"/>
                <w:iCs w:val="false"/>
                <w:color w:val="D97706"/>
                <w:sz w:val="20"/>
                <w:szCs w:val="20"/>
              </w:rPr>
              <w:t xml:space="preserve">~</w:t>
            </w:r>
          </w:p>
        </w:tc>
        <w:tc>
          <w:tcPr>
            <w:tcW w:type="dxa" w:w="1200"/>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tcPr>
          <w:p>
            <w:pPr>
              <w:jc w:val="center"/>
            </w:pPr>
            <w:r>
              <w:rPr>
                <w:rFonts w:ascii="Arial" w:cs="Arial" w:eastAsia="Arial" w:hAnsi="Arial"/>
                <w:b/>
                <w:bCs/>
                <w:i w:val="false"/>
                <w:iCs w:val="false"/>
                <w:color w:val="D97706"/>
                <w:sz w:val="20"/>
                <w:szCs w:val="20"/>
              </w:rPr>
              <w:t xml:space="preserve">~</w:t>
            </w:r>
          </w:p>
        </w:tc>
        <w:tc>
          <w:tcPr>
            <w:tcW w:type="dxa" w:w="960"/>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tcPr>
          <w:p>
            <w:pPr>
              <w:jc w:val="center"/>
            </w:pPr>
            <w:r>
              <w:rPr>
                <w:rFonts w:ascii="Arial" w:cs="Arial" w:eastAsia="Arial" w:hAnsi="Arial"/>
                <w:b/>
                <w:bCs/>
                <w:i w:val="false"/>
                <w:iCs w:val="false"/>
                <w:color w:val="DC2626"/>
                <w:sz w:val="20"/>
                <w:szCs w:val="20"/>
              </w:rPr>
              <w:t xml:space="preserve">✗</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18"/>
                <w:szCs w:val="18"/>
              </w:rPr>
              <w:t xml:space="preserve">Eventbrite</w:t>
            </w:r>
          </w:p>
        </w:tc>
        <w:tc>
          <w:tcPr>
            <w:tcW w:type="dxa" w:w="1500"/>
            <w:tcBorders>
              <w:top w:val="single" w:color="CBD5E1" w:sz="1"/>
              <w:left w:val="single" w:color="CBD5E1" w:sz="1"/>
              <w:bottom w:val="single" w:color="CBD5E1" w:sz="1"/>
              <w:right w:val="single" w:color="CBD5E1" w:sz="1"/>
            </w:tcBorders>
            <w:shd w:fill="F8FAFC" w:val="clear"/>
            <w:tcMar>
              <w:top w:type="dxa" w:w="80"/>
              <w:left w:type="dxa" w:w="80"/>
              <w:bottom w:type="dxa" w:w="80"/>
              <w:right w:type="dxa" w:w="80"/>
            </w:tcMar>
          </w:tcPr>
          <w:p>
            <w:pPr>
              <w:jc w:val="center"/>
            </w:pPr>
            <w:r>
              <w:rPr>
                <w:rFonts w:ascii="Arial" w:cs="Arial" w:eastAsia="Arial" w:hAnsi="Arial"/>
                <w:b/>
                <w:bCs/>
                <w:i w:val="false"/>
                <w:iCs w:val="false"/>
                <w:color w:val="DC2626"/>
                <w:sz w:val="20"/>
                <w:szCs w:val="20"/>
              </w:rPr>
              <w:t xml:space="preserve">✗</w:t>
            </w:r>
          </w:p>
        </w:tc>
        <w:tc>
          <w:tcPr>
            <w:tcW w:type="dxa" w:w="1300"/>
            <w:tcBorders>
              <w:top w:val="single" w:color="CBD5E1" w:sz="1"/>
              <w:left w:val="single" w:color="CBD5E1" w:sz="1"/>
              <w:bottom w:val="single" w:color="CBD5E1" w:sz="1"/>
              <w:right w:val="single" w:color="CBD5E1" w:sz="1"/>
            </w:tcBorders>
            <w:shd w:fill="F8FAFC" w:val="clear"/>
            <w:tcMar>
              <w:top w:type="dxa" w:w="80"/>
              <w:left w:type="dxa" w:w="80"/>
              <w:bottom w:type="dxa" w:w="80"/>
              <w:right w:type="dxa" w:w="80"/>
            </w:tcMar>
          </w:tcPr>
          <w:p>
            <w:pPr>
              <w:jc w:val="center"/>
            </w:pPr>
            <w:r>
              <w:rPr>
                <w:rFonts w:ascii="Arial" w:cs="Arial" w:eastAsia="Arial" w:hAnsi="Arial"/>
                <w:b/>
                <w:bCs/>
                <w:i w:val="false"/>
                <w:iCs w:val="false"/>
                <w:color w:val="DC2626"/>
                <w:sz w:val="20"/>
                <w:szCs w:val="20"/>
              </w:rPr>
              <w:t xml:space="preserve">✗</w:t>
            </w:r>
          </w:p>
        </w:tc>
        <w:tc>
          <w:tcPr>
            <w:tcW w:type="dxa" w:w="1300"/>
            <w:tcBorders>
              <w:top w:val="single" w:color="CBD5E1" w:sz="1"/>
              <w:left w:val="single" w:color="CBD5E1" w:sz="1"/>
              <w:bottom w:val="single" w:color="CBD5E1" w:sz="1"/>
              <w:right w:val="single" w:color="CBD5E1" w:sz="1"/>
            </w:tcBorders>
            <w:shd w:fill="F8FAFC" w:val="clear"/>
            <w:tcMar>
              <w:top w:type="dxa" w:w="80"/>
              <w:left w:type="dxa" w:w="80"/>
              <w:bottom w:type="dxa" w:w="80"/>
              <w:right w:type="dxa" w:w="80"/>
            </w:tcMar>
          </w:tcPr>
          <w:p>
            <w:pPr>
              <w:jc w:val="center"/>
            </w:pPr>
            <w:r>
              <w:rPr>
                <w:rFonts w:ascii="Arial" w:cs="Arial" w:eastAsia="Arial" w:hAnsi="Arial"/>
                <w:b/>
                <w:bCs/>
                <w:i w:val="false"/>
                <w:iCs w:val="false"/>
                <w:color w:val="D97706"/>
                <w:sz w:val="20"/>
                <w:szCs w:val="20"/>
              </w:rPr>
              <w:t xml:space="preserve">~</w:t>
            </w:r>
          </w:p>
        </w:tc>
        <w:tc>
          <w:tcPr>
            <w:tcW w:type="dxa" w:w="1300"/>
            <w:tcBorders>
              <w:top w:val="single" w:color="CBD5E1" w:sz="1"/>
              <w:left w:val="single" w:color="CBD5E1" w:sz="1"/>
              <w:bottom w:val="single" w:color="CBD5E1" w:sz="1"/>
              <w:right w:val="single" w:color="CBD5E1" w:sz="1"/>
            </w:tcBorders>
            <w:shd w:fill="F8FAFC" w:val="clear"/>
            <w:tcMar>
              <w:top w:type="dxa" w:w="80"/>
              <w:left w:type="dxa" w:w="80"/>
              <w:bottom w:type="dxa" w:w="80"/>
              <w:right w:type="dxa" w:w="80"/>
            </w:tcMar>
          </w:tcPr>
          <w:p>
            <w:pPr>
              <w:jc w:val="center"/>
            </w:pPr>
            <w:r>
              <w:rPr>
                <w:rFonts w:ascii="Arial" w:cs="Arial" w:eastAsia="Arial" w:hAnsi="Arial"/>
                <w:b/>
                <w:bCs/>
                <w:i w:val="false"/>
                <w:iCs w:val="false"/>
                <w:color w:val="DC2626"/>
                <w:sz w:val="20"/>
                <w:szCs w:val="20"/>
              </w:rPr>
              <w:t xml:space="preserve">✗</w:t>
            </w:r>
          </w:p>
        </w:tc>
        <w:tc>
          <w:tcPr>
            <w:tcW w:type="dxa" w:w="1200"/>
            <w:tcBorders>
              <w:top w:val="single" w:color="CBD5E1" w:sz="1"/>
              <w:left w:val="single" w:color="CBD5E1" w:sz="1"/>
              <w:bottom w:val="single" w:color="CBD5E1" w:sz="1"/>
              <w:right w:val="single" w:color="CBD5E1" w:sz="1"/>
            </w:tcBorders>
            <w:shd w:fill="F8FAFC" w:val="clear"/>
            <w:tcMar>
              <w:top w:type="dxa" w:w="80"/>
              <w:left w:type="dxa" w:w="80"/>
              <w:bottom w:type="dxa" w:w="80"/>
              <w:right w:type="dxa" w:w="80"/>
            </w:tcMar>
          </w:tcPr>
          <w:p>
            <w:pPr>
              <w:jc w:val="center"/>
            </w:pPr>
            <w:r>
              <w:rPr>
                <w:rFonts w:ascii="Arial" w:cs="Arial" w:eastAsia="Arial" w:hAnsi="Arial"/>
                <w:b/>
                <w:bCs/>
                <w:i w:val="false"/>
                <w:iCs w:val="false"/>
                <w:color w:val="DC2626"/>
                <w:sz w:val="20"/>
                <w:szCs w:val="20"/>
              </w:rPr>
              <w:t xml:space="preserve">✗</w:t>
            </w:r>
          </w:p>
        </w:tc>
        <w:tc>
          <w:tcPr>
            <w:tcW w:type="dxa" w:w="960"/>
            <w:tcBorders>
              <w:top w:val="single" w:color="CBD5E1" w:sz="1"/>
              <w:left w:val="single" w:color="CBD5E1" w:sz="1"/>
              <w:bottom w:val="single" w:color="CBD5E1" w:sz="1"/>
              <w:right w:val="single" w:color="CBD5E1" w:sz="1"/>
            </w:tcBorders>
            <w:shd w:fill="F8FAFC" w:val="clear"/>
            <w:tcMar>
              <w:top w:type="dxa" w:w="80"/>
              <w:left w:type="dxa" w:w="80"/>
              <w:bottom w:type="dxa" w:w="80"/>
              <w:right w:type="dxa" w:w="80"/>
            </w:tcMar>
          </w:tcPr>
          <w:p>
            <w:pPr>
              <w:jc w:val="center"/>
            </w:pPr>
            <w:r>
              <w:rPr>
                <w:rFonts w:ascii="Arial" w:cs="Arial" w:eastAsia="Arial" w:hAnsi="Arial"/>
                <w:b/>
                <w:bCs/>
                <w:i w:val="false"/>
                <w:iCs w:val="false"/>
                <w:color w:val="15803D"/>
                <w:sz w:val="20"/>
                <w:szCs w:val="20"/>
              </w:rPr>
              <w:t xml:space="preserv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18"/>
                <w:szCs w:val="18"/>
              </w:rPr>
              <w:t xml:space="preserve">Hubilo</w:t>
            </w:r>
          </w:p>
        </w:tc>
        <w:tc>
          <w:tcPr>
            <w:tcW w:type="dxa" w:w="1500"/>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tcPr>
          <w:p>
            <w:pPr>
              <w:jc w:val="center"/>
            </w:pPr>
            <w:r>
              <w:rPr>
                <w:rFonts w:ascii="Arial" w:cs="Arial" w:eastAsia="Arial" w:hAnsi="Arial"/>
                <w:b/>
                <w:bCs/>
                <w:i w:val="false"/>
                <w:iCs w:val="false"/>
                <w:color w:val="D97706"/>
                <w:sz w:val="20"/>
                <w:szCs w:val="20"/>
              </w:rPr>
              <w:t xml:space="preserve">~</w:t>
            </w:r>
          </w:p>
        </w:tc>
        <w:tc>
          <w:tcPr>
            <w:tcW w:type="dxa" w:w="1300"/>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tcPr>
          <w:p>
            <w:pPr>
              <w:jc w:val="center"/>
            </w:pPr>
            <w:r>
              <w:rPr>
                <w:rFonts w:ascii="Arial" w:cs="Arial" w:eastAsia="Arial" w:hAnsi="Arial"/>
                <w:b/>
                <w:bCs/>
                <w:i w:val="false"/>
                <w:iCs w:val="false"/>
                <w:color w:val="DC2626"/>
                <w:sz w:val="20"/>
                <w:szCs w:val="20"/>
              </w:rPr>
              <w:t xml:space="preserve">✗</w:t>
            </w:r>
          </w:p>
        </w:tc>
        <w:tc>
          <w:tcPr>
            <w:tcW w:type="dxa" w:w="1300"/>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tcPr>
          <w:p>
            <w:pPr>
              <w:jc w:val="center"/>
            </w:pPr>
            <w:r>
              <w:rPr>
                <w:rFonts w:ascii="Arial" w:cs="Arial" w:eastAsia="Arial" w:hAnsi="Arial"/>
                <w:b/>
                <w:bCs/>
                <w:i w:val="false"/>
                <w:iCs w:val="false"/>
                <w:color w:val="DC2626"/>
                <w:sz w:val="20"/>
                <w:szCs w:val="20"/>
              </w:rPr>
              <w:t xml:space="preserve">✗</w:t>
            </w:r>
          </w:p>
        </w:tc>
        <w:tc>
          <w:tcPr>
            <w:tcW w:type="dxa" w:w="1300"/>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tcPr>
          <w:p>
            <w:pPr>
              <w:jc w:val="center"/>
            </w:pPr>
            <w:r>
              <w:rPr>
                <w:rFonts w:ascii="Arial" w:cs="Arial" w:eastAsia="Arial" w:hAnsi="Arial"/>
                <w:b/>
                <w:bCs/>
                <w:i w:val="false"/>
                <w:iCs w:val="false"/>
                <w:color w:val="DC2626"/>
                <w:sz w:val="20"/>
                <w:szCs w:val="20"/>
              </w:rPr>
              <w:t xml:space="preserve">✗</w:t>
            </w:r>
          </w:p>
        </w:tc>
        <w:tc>
          <w:tcPr>
            <w:tcW w:type="dxa" w:w="1200"/>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tcPr>
          <w:p>
            <w:pPr>
              <w:jc w:val="center"/>
            </w:pPr>
            <w:r>
              <w:rPr>
                <w:rFonts w:ascii="Arial" w:cs="Arial" w:eastAsia="Arial" w:hAnsi="Arial"/>
                <w:b/>
                <w:bCs/>
                <w:i w:val="false"/>
                <w:iCs w:val="false"/>
                <w:color w:val="D97706"/>
                <w:sz w:val="20"/>
                <w:szCs w:val="20"/>
              </w:rPr>
              <w:t xml:space="preserve">~</w:t>
            </w:r>
          </w:p>
        </w:tc>
        <w:tc>
          <w:tcPr>
            <w:tcW w:type="dxa" w:w="960"/>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tcPr>
          <w:p>
            <w:pPr>
              <w:jc w:val="center"/>
            </w:pPr>
            <w:r>
              <w:rPr>
                <w:rFonts w:ascii="Arial" w:cs="Arial" w:eastAsia="Arial" w:hAnsi="Arial"/>
                <w:b/>
                <w:bCs/>
                <w:i w:val="false"/>
                <w:iCs w:val="false"/>
                <w:color w:val="DC2626"/>
                <w:sz w:val="20"/>
                <w:szCs w:val="20"/>
              </w:rPr>
              <w:t xml:space="preserve">✗</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18"/>
                <w:szCs w:val="18"/>
              </w:rPr>
              <w:t xml:space="preserve">Monday.com</w:t>
            </w:r>
          </w:p>
        </w:tc>
        <w:tc>
          <w:tcPr>
            <w:tcW w:type="dxa" w:w="1500"/>
            <w:tcBorders>
              <w:top w:val="single" w:color="CBD5E1" w:sz="1"/>
              <w:left w:val="single" w:color="CBD5E1" w:sz="1"/>
              <w:bottom w:val="single" w:color="CBD5E1" w:sz="1"/>
              <w:right w:val="single" w:color="CBD5E1" w:sz="1"/>
            </w:tcBorders>
            <w:shd w:fill="F8FAFC" w:val="clear"/>
            <w:tcMar>
              <w:top w:type="dxa" w:w="80"/>
              <w:left w:type="dxa" w:w="80"/>
              <w:bottom w:type="dxa" w:w="80"/>
              <w:right w:type="dxa" w:w="80"/>
            </w:tcMar>
          </w:tcPr>
          <w:p>
            <w:pPr>
              <w:jc w:val="center"/>
            </w:pPr>
            <w:r>
              <w:rPr>
                <w:rFonts w:ascii="Arial" w:cs="Arial" w:eastAsia="Arial" w:hAnsi="Arial"/>
                <w:b/>
                <w:bCs/>
                <w:i w:val="false"/>
                <w:iCs w:val="false"/>
                <w:color w:val="D97706"/>
                <w:sz w:val="20"/>
                <w:szCs w:val="20"/>
              </w:rPr>
              <w:t xml:space="preserve">~</w:t>
            </w:r>
          </w:p>
        </w:tc>
        <w:tc>
          <w:tcPr>
            <w:tcW w:type="dxa" w:w="1300"/>
            <w:tcBorders>
              <w:top w:val="single" w:color="CBD5E1" w:sz="1"/>
              <w:left w:val="single" w:color="CBD5E1" w:sz="1"/>
              <w:bottom w:val="single" w:color="CBD5E1" w:sz="1"/>
              <w:right w:val="single" w:color="CBD5E1" w:sz="1"/>
            </w:tcBorders>
            <w:shd w:fill="F8FAFC" w:val="clear"/>
            <w:tcMar>
              <w:top w:type="dxa" w:w="80"/>
              <w:left w:type="dxa" w:w="80"/>
              <w:bottom w:type="dxa" w:w="80"/>
              <w:right w:type="dxa" w:w="80"/>
            </w:tcMar>
          </w:tcPr>
          <w:p>
            <w:pPr>
              <w:jc w:val="center"/>
            </w:pPr>
            <w:r>
              <w:rPr>
                <w:rFonts w:ascii="Arial" w:cs="Arial" w:eastAsia="Arial" w:hAnsi="Arial"/>
                <w:b/>
                <w:bCs/>
                <w:i w:val="false"/>
                <w:iCs w:val="false"/>
                <w:color w:val="DC2626"/>
                <w:sz w:val="20"/>
                <w:szCs w:val="20"/>
              </w:rPr>
              <w:t xml:space="preserve">✗</w:t>
            </w:r>
          </w:p>
        </w:tc>
        <w:tc>
          <w:tcPr>
            <w:tcW w:type="dxa" w:w="1300"/>
            <w:tcBorders>
              <w:top w:val="single" w:color="CBD5E1" w:sz="1"/>
              <w:left w:val="single" w:color="CBD5E1" w:sz="1"/>
              <w:bottom w:val="single" w:color="CBD5E1" w:sz="1"/>
              <w:right w:val="single" w:color="CBD5E1" w:sz="1"/>
            </w:tcBorders>
            <w:shd w:fill="F8FAFC" w:val="clear"/>
            <w:tcMar>
              <w:top w:type="dxa" w:w="80"/>
              <w:left w:type="dxa" w:w="80"/>
              <w:bottom w:type="dxa" w:w="80"/>
              <w:right w:type="dxa" w:w="80"/>
            </w:tcMar>
          </w:tcPr>
          <w:p>
            <w:pPr>
              <w:jc w:val="center"/>
            </w:pPr>
            <w:r>
              <w:rPr>
                <w:rFonts w:ascii="Arial" w:cs="Arial" w:eastAsia="Arial" w:hAnsi="Arial"/>
                <w:b/>
                <w:bCs/>
                <w:i w:val="false"/>
                <w:iCs w:val="false"/>
                <w:color w:val="DC2626"/>
                <w:sz w:val="20"/>
                <w:szCs w:val="20"/>
              </w:rPr>
              <w:t xml:space="preserve">✗</w:t>
            </w:r>
          </w:p>
        </w:tc>
        <w:tc>
          <w:tcPr>
            <w:tcW w:type="dxa" w:w="1300"/>
            <w:tcBorders>
              <w:top w:val="single" w:color="CBD5E1" w:sz="1"/>
              <w:left w:val="single" w:color="CBD5E1" w:sz="1"/>
              <w:bottom w:val="single" w:color="CBD5E1" w:sz="1"/>
              <w:right w:val="single" w:color="CBD5E1" w:sz="1"/>
            </w:tcBorders>
            <w:shd w:fill="F8FAFC" w:val="clear"/>
            <w:tcMar>
              <w:top w:type="dxa" w:w="80"/>
              <w:left w:type="dxa" w:w="80"/>
              <w:bottom w:type="dxa" w:w="80"/>
              <w:right w:type="dxa" w:w="80"/>
            </w:tcMar>
          </w:tcPr>
          <w:p>
            <w:pPr>
              <w:jc w:val="center"/>
            </w:pPr>
            <w:r>
              <w:rPr>
                <w:rFonts w:ascii="Arial" w:cs="Arial" w:eastAsia="Arial" w:hAnsi="Arial"/>
                <w:b/>
                <w:bCs/>
                <w:i w:val="false"/>
                <w:iCs w:val="false"/>
                <w:color w:val="DC2626"/>
                <w:sz w:val="20"/>
                <w:szCs w:val="20"/>
              </w:rPr>
              <w:t xml:space="preserve">✗</w:t>
            </w:r>
          </w:p>
        </w:tc>
        <w:tc>
          <w:tcPr>
            <w:tcW w:type="dxa" w:w="1200"/>
            <w:tcBorders>
              <w:top w:val="single" w:color="CBD5E1" w:sz="1"/>
              <w:left w:val="single" w:color="CBD5E1" w:sz="1"/>
              <w:bottom w:val="single" w:color="CBD5E1" w:sz="1"/>
              <w:right w:val="single" w:color="CBD5E1" w:sz="1"/>
            </w:tcBorders>
            <w:shd w:fill="F8FAFC" w:val="clear"/>
            <w:tcMar>
              <w:top w:type="dxa" w:w="80"/>
              <w:left w:type="dxa" w:w="80"/>
              <w:bottom w:type="dxa" w:w="80"/>
              <w:right w:type="dxa" w:w="80"/>
            </w:tcMar>
          </w:tcPr>
          <w:p>
            <w:pPr>
              <w:jc w:val="center"/>
            </w:pPr>
            <w:r>
              <w:rPr>
                <w:rFonts w:ascii="Arial" w:cs="Arial" w:eastAsia="Arial" w:hAnsi="Arial"/>
                <w:b/>
                <w:bCs/>
                <w:i w:val="false"/>
                <w:iCs w:val="false"/>
                <w:color w:val="DC2626"/>
                <w:sz w:val="20"/>
                <w:szCs w:val="20"/>
              </w:rPr>
              <w:t xml:space="preserve">✗</w:t>
            </w:r>
          </w:p>
        </w:tc>
        <w:tc>
          <w:tcPr>
            <w:tcW w:type="dxa" w:w="960"/>
            <w:tcBorders>
              <w:top w:val="single" w:color="CBD5E1" w:sz="1"/>
              <w:left w:val="single" w:color="CBD5E1" w:sz="1"/>
              <w:bottom w:val="single" w:color="CBD5E1" w:sz="1"/>
              <w:right w:val="single" w:color="CBD5E1" w:sz="1"/>
            </w:tcBorders>
            <w:shd w:fill="F8FAFC" w:val="clear"/>
            <w:tcMar>
              <w:top w:type="dxa" w:w="80"/>
              <w:left w:type="dxa" w:w="80"/>
              <w:bottom w:type="dxa" w:w="80"/>
              <w:right w:type="dxa" w:w="80"/>
            </w:tcMar>
          </w:tcPr>
          <w:p>
            <w:pPr>
              <w:jc w:val="center"/>
            </w:pPr>
            <w:r>
              <w:rPr>
                <w:rFonts w:ascii="Arial" w:cs="Arial" w:eastAsia="Arial" w:hAnsi="Arial"/>
                <w:b/>
                <w:bCs/>
                <w:i w:val="false"/>
                <w:iCs w:val="false"/>
                <w:color w:val="D97706"/>
                <w:sz w:val="20"/>
                <w:szCs w:val="20"/>
              </w:rPr>
              <w:t xml:space="preserv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18"/>
                <w:szCs w:val="18"/>
              </w:rPr>
              <w:t xml:space="preserve">Townscript</w:t>
            </w:r>
          </w:p>
        </w:tc>
        <w:tc>
          <w:tcPr>
            <w:tcW w:type="dxa" w:w="1500"/>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tcPr>
          <w:p>
            <w:pPr>
              <w:jc w:val="center"/>
            </w:pPr>
            <w:r>
              <w:rPr>
                <w:rFonts w:ascii="Arial" w:cs="Arial" w:eastAsia="Arial" w:hAnsi="Arial"/>
                <w:b/>
                <w:bCs/>
                <w:i w:val="false"/>
                <w:iCs w:val="false"/>
                <w:color w:val="DC2626"/>
                <w:sz w:val="20"/>
                <w:szCs w:val="20"/>
              </w:rPr>
              <w:t xml:space="preserve">✗</w:t>
            </w:r>
          </w:p>
        </w:tc>
        <w:tc>
          <w:tcPr>
            <w:tcW w:type="dxa" w:w="1300"/>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tcPr>
          <w:p>
            <w:pPr>
              <w:jc w:val="center"/>
            </w:pPr>
            <w:r>
              <w:rPr>
                <w:rFonts w:ascii="Arial" w:cs="Arial" w:eastAsia="Arial" w:hAnsi="Arial"/>
                <w:b/>
                <w:bCs/>
                <w:i w:val="false"/>
                <w:iCs w:val="false"/>
                <w:color w:val="DC2626"/>
                <w:sz w:val="20"/>
                <w:szCs w:val="20"/>
              </w:rPr>
              <w:t xml:space="preserve">✗</w:t>
            </w:r>
          </w:p>
        </w:tc>
        <w:tc>
          <w:tcPr>
            <w:tcW w:type="dxa" w:w="1300"/>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tcPr>
          <w:p>
            <w:pPr>
              <w:jc w:val="center"/>
            </w:pPr>
            <w:r>
              <w:rPr>
                <w:rFonts w:ascii="Arial" w:cs="Arial" w:eastAsia="Arial" w:hAnsi="Arial"/>
                <w:b/>
                <w:bCs/>
                <w:i w:val="false"/>
                <w:iCs w:val="false"/>
                <w:color w:val="D97706"/>
                <w:sz w:val="20"/>
                <w:szCs w:val="20"/>
              </w:rPr>
              <w:t xml:space="preserve">~</w:t>
            </w:r>
          </w:p>
        </w:tc>
        <w:tc>
          <w:tcPr>
            <w:tcW w:type="dxa" w:w="1300"/>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tcPr>
          <w:p>
            <w:pPr>
              <w:jc w:val="center"/>
            </w:pPr>
            <w:r>
              <w:rPr>
                <w:rFonts w:ascii="Arial" w:cs="Arial" w:eastAsia="Arial" w:hAnsi="Arial"/>
                <w:b/>
                <w:bCs/>
                <w:i w:val="false"/>
                <w:iCs w:val="false"/>
                <w:color w:val="DC2626"/>
                <w:sz w:val="20"/>
                <w:szCs w:val="20"/>
              </w:rPr>
              <w:t xml:space="preserve">✗</w:t>
            </w:r>
          </w:p>
        </w:tc>
        <w:tc>
          <w:tcPr>
            <w:tcW w:type="dxa" w:w="1200"/>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tcPr>
          <w:p>
            <w:pPr>
              <w:jc w:val="center"/>
            </w:pPr>
            <w:r>
              <w:rPr>
                <w:rFonts w:ascii="Arial" w:cs="Arial" w:eastAsia="Arial" w:hAnsi="Arial"/>
                <w:b/>
                <w:bCs/>
                <w:i w:val="false"/>
                <w:iCs w:val="false"/>
                <w:color w:val="DC2626"/>
                <w:sz w:val="20"/>
                <w:szCs w:val="20"/>
              </w:rPr>
              <w:t xml:space="preserve">✗</w:t>
            </w:r>
          </w:p>
        </w:tc>
        <w:tc>
          <w:tcPr>
            <w:tcW w:type="dxa" w:w="960"/>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tcPr>
          <w:p>
            <w:pPr>
              <w:jc w:val="center"/>
            </w:pPr>
            <w:r>
              <w:rPr>
                <w:rFonts w:ascii="Arial" w:cs="Arial" w:eastAsia="Arial" w:hAnsi="Arial"/>
                <w:b/>
                <w:bCs/>
                <w:i w:val="false"/>
                <w:iCs w:val="false"/>
                <w:color w:val="15803D"/>
                <w:sz w:val="20"/>
                <w:szCs w:val="20"/>
              </w:rPr>
              <w:t xml:space="preserve">✓</w:t>
            </w:r>
          </w:p>
        </w:tc>
      </w:tr>
    </w:tbl>
    <w:p>
      <w:pPr>
        <w:spacing w:after="80" w:before="0"/>
      </w:pPr>
      <w:r>
        <w:t xml:space="preserve"/>
      </w:r>
    </w:p>
    <w:p>
      <w:pPr>
        <w:spacing w:after="60" w:before="0"/>
      </w:pPr>
      <w:r>
        <w:rPr>
          <w:rFonts w:ascii="Arial" w:cs="Arial" w:eastAsia="Arial" w:hAnsi="Arial"/>
          <w:b w:val="false"/>
          <w:bCs w:val="false"/>
          <w:i/>
          <w:iCs/>
          <w:color w:val="64748B"/>
          <w:sz w:val="16"/>
          <w:szCs w:val="16"/>
        </w:rPr>
        <w:t xml:space="preserve">✓ Full  · ~ Partial  · ✗ Not Available</w:t>
      </w:r>
    </w:p>
    <w:p>
      <w:pPr>
        <w:spacing w:after="120" w:before="0"/>
      </w:pPr>
      <w:r>
        <w:t xml:space="preserve"/>
      </w:r>
    </w:p>
    <w:p>
      <w:pPr>
        <w:spacing w:after="80" w:before="160"/>
      </w:pPr>
      <w:r>
        <w:rPr>
          <w:rFonts w:ascii="Arial" w:cs="Arial" w:eastAsia="Arial" w:hAnsi="Arial"/>
          <w:b/>
          <w:bCs/>
          <w:i w:val="false"/>
          <w:iCs w:val="false"/>
          <w:color w:val="1D4ED8"/>
          <w:sz w:val="24"/>
          <w:szCs w:val="24"/>
        </w:rPr>
        <w:t xml:space="preserve">OccasionPro's Unfair Advantages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D4ED8" w:sz="1"/>
              <w:left w:val="single" w:color="1D4ED8" w:sz="1"/>
              <w:bottom w:val="single" w:color="1D4ED8" w:sz="1"/>
              <w:right w:val="single" w:color="1D4ED8" w:sz="1"/>
            </w:tcBorders>
            <w:shd w:fill="DBEAFE" w:val="clear"/>
            <w:tcMar>
              <w:top w:type="dxa" w:w="100"/>
              <w:left w:type="dxa" w:w="160"/>
              <w:bottom w:type="dxa" w:w="100"/>
              <w:right w:type="dxa" w:w="160"/>
            </w:tcMar>
          </w:tcPr>
          <w:p>
            <w:r>
              <w:rPr>
                <w:rFonts w:ascii="Arial" w:cs="Arial" w:eastAsia="Arial" w:hAnsi="Arial"/>
                <w:b/>
                <w:bCs/>
                <w:i w:val="false"/>
                <w:iCs w:val="false"/>
                <w:color w:val="1D4ED8"/>
                <w:sz w:val="19"/>
                <w:szCs w:val="19"/>
              </w:rPr>
              <w:t xml:space="preserve">AI-Native Architecture</w:t>
            </w:r>
          </w:p>
        </w:tc>
        <w:tc>
          <w:tcPr>
            <w:tcW w:type="dxa" w:w="69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i w:val="false"/>
                <w:iCs w:val="false"/>
                <w:color w:val="475569"/>
                <w:sz w:val="19"/>
                <w:szCs w:val="19"/>
              </w:rPr>
              <w:t xml:space="preserve">AI is not a feature — it is the foundation. Every workflow, suggestion and alert is AI-powered from the ground up.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D4ED8" w:sz="1"/>
              <w:left w:val="single" w:color="1D4ED8" w:sz="1"/>
              <w:bottom w:val="single" w:color="1D4ED8" w:sz="1"/>
              <w:right w:val="single" w:color="1D4ED8" w:sz="1"/>
            </w:tcBorders>
            <w:shd w:fill="DBEAFE" w:val="clear"/>
            <w:tcMar>
              <w:top w:type="dxa" w:w="100"/>
              <w:left w:type="dxa" w:w="160"/>
              <w:bottom w:type="dxa" w:w="100"/>
              <w:right w:type="dxa" w:w="160"/>
            </w:tcMar>
          </w:tcPr>
          <w:p>
            <w:r>
              <w:rPr>
                <w:rFonts w:ascii="Arial" w:cs="Arial" w:eastAsia="Arial" w:hAnsi="Arial"/>
                <w:b/>
                <w:bCs/>
                <w:i w:val="false"/>
                <w:iCs w:val="false"/>
                <w:color w:val="1D4ED8"/>
                <w:sz w:val="19"/>
                <w:szCs w:val="19"/>
              </w:rPr>
              <w:t xml:space="preserve">Full Offline Capability</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i w:val="false"/>
                <w:iCs w:val="false"/>
                <w:color w:val="475569"/>
                <w:sz w:val="19"/>
                <w:szCs w:val="19"/>
              </w:rPr>
              <w:t xml:space="preserve">ElectricSQL-powered sync means field teams have full access to all data in zero-connectivity environments — a first in the industry.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D4ED8" w:sz="1"/>
              <w:left w:val="single" w:color="1D4ED8" w:sz="1"/>
              <w:bottom w:val="single" w:color="1D4ED8" w:sz="1"/>
              <w:right w:val="single" w:color="1D4ED8" w:sz="1"/>
            </w:tcBorders>
            <w:shd w:fill="DBEAFE" w:val="clear"/>
            <w:tcMar>
              <w:top w:type="dxa" w:w="100"/>
              <w:left w:type="dxa" w:w="160"/>
              <w:bottom w:type="dxa" w:w="100"/>
              <w:right w:type="dxa" w:w="160"/>
            </w:tcMar>
          </w:tcPr>
          <w:p>
            <w:r>
              <w:rPr>
                <w:rFonts w:ascii="Arial" w:cs="Arial" w:eastAsia="Arial" w:hAnsi="Arial"/>
                <w:b/>
                <w:bCs/>
                <w:i w:val="false"/>
                <w:iCs w:val="false"/>
                <w:color w:val="1D4ED8"/>
                <w:sz w:val="19"/>
                <w:szCs w:val="19"/>
              </w:rPr>
              <w:t xml:space="preserve">Universal Event Coverage</w:t>
            </w:r>
          </w:p>
        </w:tc>
        <w:tc>
          <w:tcPr>
            <w:tcW w:type="dxa" w:w="69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i w:val="false"/>
                <w:iCs w:val="false"/>
                <w:color w:val="475569"/>
                <w:sz w:val="19"/>
                <w:szCs w:val="19"/>
              </w:rPr>
              <w:t xml:space="preserve">Every event type from intimate weddings to 100,000-person stadium concerts on a single platform.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D4ED8" w:sz="1"/>
              <w:left w:val="single" w:color="1D4ED8" w:sz="1"/>
              <w:bottom w:val="single" w:color="1D4ED8" w:sz="1"/>
              <w:right w:val="single" w:color="1D4ED8" w:sz="1"/>
            </w:tcBorders>
            <w:shd w:fill="DBEAFE" w:val="clear"/>
            <w:tcMar>
              <w:top w:type="dxa" w:w="100"/>
              <w:left w:type="dxa" w:w="160"/>
              <w:bottom w:type="dxa" w:w="100"/>
              <w:right w:type="dxa" w:w="160"/>
            </w:tcMar>
          </w:tcPr>
          <w:p>
            <w:r>
              <w:rPr>
                <w:rFonts w:ascii="Arial" w:cs="Arial" w:eastAsia="Arial" w:hAnsi="Arial"/>
                <w:b/>
                <w:bCs/>
                <w:i w:val="false"/>
                <w:iCs w:val="false"/>
                <w:color w:val="1D4ED8"/>
                <w:sz w:val="19"/>
                <w:szCs w:val="19"/>
              </w:rPr>
              <w:t xml:space="preserve">White-Label Infrastructure</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i w:val="false"/>
                <w:iCs w:val="false"/>
                <w:color w:val="475569"/>
                <w:sz w:val="19"/>
                <w:szCs w:val="19"/>
              </w:rPr>
              <w:t xml:space="preserve">Event companies can deploy OccasionPro as their own branded product — creating a B2B2B growth channel.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D4ED8" w:sz="1"/>
              <w:left w:val="single" w:color="1D4ED8" w:sz="1"/>
              <w:bottom w:val="single" w:color="1D4ED8" w:sz="1"/>
              <w:right w:val="single" w:color="1D4ED8" w:sz="1"/>
            </w:tcBorders>
            <w:shd w:fill="DBEAFE" w:val="clear"/>
            <w:tcMar>
              <w:top w:type="dxa" w:w="100"/>
              <w:left w:type="dxa" w:w="160"/>
              <w:bottom w:type="dxa" w:w="100"/>
              <w:right w:type="dxa" w:w="160"/>
            </w:tcMar>
          </w:tcPr>
          <w:p>
            <w:r>
              <w:rPr>
                <w:rFonts w:ascii="Arial" w:cs="Arial" w:eastAsia="Arial" w:hAnsi="Arial"/>
                <w:b/>
                <w:bCs/>
                <w:i w:val="false"/>
                <w:iCs w:val="false"/>
                <w:color w:val="1D4ED8"/>
                <w:sz w:val="19"/>
                <w:szCs w:val="19"/>
              </w:rPr>
              <w:t xml:space="preserve">Guest Portal</w:t>
            </w:r>
          </w:p>
        </w:tc>
        <w:tc>
          <w:tcPr>
            <w:tcW w:type="dxa" w:w="69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i w:val="false"/>
                <w:iCs w:val="false"/>
                <w:color w:val="475569"/>
                <w:sz w:val="19"/>
                <w:szCs w:val="19"/>
              </w:rPr>
              <w:t xml:space="preserve">The only platform that builds a dedicated digital experience layer for event attendees — the industry's most overlooked stakeholder.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D4ED8" w:sz="1"/>
              <w:left w:val="single" w:color="1D4ED8" w:sz="1"/>
              <w:bottom w:val="single" w:color="1D4ED8" w:sz="1"/>
              <w:right w:val="single" w:color="1D4ED8" w:sz="1"/>
            </w:tcBorders>
            <w:shd w:fill="DBEAFE" w:val="clear"/>
            <w:tcMar>
              <w:top w:type="dxa" w:w="100"/>
              <w:left w:type="dxa" w:w="160"/>
              <w:bottom w:type="dxa" w:w="100"/>
              <w:right w:type="dxa" w:w="160"/>
            </w:tcMar>
          </w:tcPr>
          <w:p>
            <w:r>
              <w:rPr>
                <w:rFonts w:ascii="Arial" w:cs="Arial" w:eastAsia="Arial" w:hAnsi="Arial"/>
                <w:b/>
                <w:bCs/>
                <w:i w:val="false"/>
                <w:iCs w:val="false"/>
                <w:color w:val="1D4ED8"/>
                <w:sz w:val="19"/>
                <w:szCs w:val="19"/>
              </w:rPr>
              <w:t xml:space="preserve">Global Architecture</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i w:val="false"/>
                <w:iCs w:val="false"/>
                <w:color w:val="475569"/>
                <w:sz w:val="19"/>
                <w:szCs w:val="19"/>
              </w:rPr>
              <w:t xml:space="preserve">Multi-currency, multi-timezone, i18n-ready, and deployed on Cloudflare's global edge network from day 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D4ED8" w:sz="1"/>
              <w:left w:val="single" w:color="1D4ED8" w:sz="1"/>
              <w:bottom w:val="single" w:color="1D4ED8" w:sz="1"/>
              <w:right w:val="single" w:color="1D4ED8" w:sz="1"/>
            </w:tcBorders>
            <w:shd w:fill="DBEAFE" w:val="clear"/>
            <w:tcMar>
              <w:top w:type="dxa" w:w="100"/>
              <w:left w:type="dxa" w:w="160"/>
              <w:bottom w:type="dxa" w:w="100"/>
              <w:right w:type="dxa" w:w="160"/>
            </w:tcMar>
          </w:tcPr>
          <w:p>
            <w:r>
              <w:rPr>
                <w:rFonts w:ascii="Arial" w:cs="Arial" w:eastAsia="Arial" w:hAnsi="Arial"/>
                <w:b/>
                <w:bCs/>
                <w:i w:val="false"/>
                <w:iCs w:val="false"/>
                <w:color w:val="1D4ED8"/>
                <w:sz w:val="19"/>
                <w:szCs w:val="19"/>
              </w:rPr>
              <w:t xml:space="preserve">Freemium Entry Point</w:t>
            </w:r>
          </w:p>
        </w:tc>
        <w:tc>
          <w:tcPr>
            <w:tcW w:type="dxa" w:w="69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i w:val="false"/>
                <w:iCs w:val="false"/>
                <w:color w:val="475569"/>
                <w:sz w:val="19"/>
                <w:szCs w:val="19"/>
              </w:rPr>
              <w:t xml:space="preserve">Zero barrier to adoption — event companies start free and grow into paid tiers naturally with platform depth.</w:t>
            </w:r>
          </w:p>
        </w:tc>
      </w:tr>
    </w:tbl>
    <w:p>
      <w:pPr>
        <w:spacing w:after="120" w:before="0"/>
      </w:pPr>
      <w:r>
        <w:t xml:space="preserve"/>
      </w:r>
    </w:p>
    <w:p>
      <w:r>
        <w:br w:type="page"/>
      </w:r>
    </w:p>
    <w:p>
      <w:pPr>
        <w:spacing w:after="200" w:before="0"/>
      </w:pPr>
      <w:r>
        <w:t xml:space="preserve"/>
      </w:r>
    </w:p>
    <w:p>
      <w:pPr>
        <w:spacing w:after="60" w:before="0"/>
      </w:pPr>
      <w:r>
        <w:rPr>
          <w:rFonts w:ascii="Arial" w:cs="Arial" w:eastAsia="Arial" w:hAnsi="Arial"/>
          <w:b/>
          <w:bCs/>
          <w:i w:val="false"/>
          <w:iCs w:val="false"/>
          <w:color w:val="0F172A"/>
          <w:sz w:val="36"/>
          <w:szCs w:val="36"/>
        </w:rPr>
        <w:t xml:space="preserve">Business Model &amp; Revenue</w:t>
      </w:r>
    </w:p>
    <w:p>
      <w:pPr>
        <w:pBdr>
          <w:bottom w:val="single" w:color="0F172A" w:sz="8" w:space="1"/>
        </w:pBdr>
        <w:spacing w:after="0" w:before="0"/>
      </w:pPr>
      <w:r>
        <w:t xml:space="preserve"/>
      </w:r>
    </w:p>
    <w:p>
      <w:pPr>
        <w:spacing w:after="80" w:before="0"/>
      </w:pPr>
      <w:r>
        <w:t xml:space="preserve"/>
      </w:r>
    </w:p>
    <w:p>
      <w:pPr>
        <w:spacing w:after="120" w:before="0"/>
      </w:pPr>
      <w:r>
        <w:rPr>
          <w:rFonts w:ascii="Arial" w:cs="Arial" w:eastAsia="Arial" w:hAnsi="Arial"/>
          <w:b w:val="false"/>
          <w:bCs w:val="false"/>
          <w:i w:val="false"/>
          <w:iCs w:val="false"/>
          <w:color w:val="475569"/>
          <w:sz w:val="20"/>
          <w:szCs w:val="20"/>
        </w:rPr>
        <w:t xml:space="preserve">OccasionPro operates a multi-stream SaaS revenue model with a freemium entry point designed for high-volume adoption and strong organic upgrade conversion.</w:t>
      </w:r>
    </w:p>
    <w:p>
      <w:pPr>
        <w:spacing w:after="80" w:before="0"/>
      </w:pPr>
      <w:r>
        <w:t xml:space="preserve"/>
      </w:r>
    </w:p>
    <w:p>
      <w:pPr>
        <w:spacing w:after="80" w:before="160"/>
      </w:pPr>
      <w:r>
        <w:rPr>
          <w:rFonts w:ascii="Arial" w:cs="Arial" w:eastAsia="Arial" w:hAnsi="Arial"/>
          <w:b/>
          <w:bCs/>
          <w:i w:val="false"/>
          <w:iCs w:val="false"/>
          <w:color w:val="1D4ED8"/>
          <w:sz w:val="24"/>
          <w:szCs w:val="24"/>
        </w:rPr>
        <w:t xml:space="preserve">Subscription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2160"/>
        <w:gridCol w:w="2000"/>
      </w:tblGrid>
      <w:tr>
        <w:tc>
          <w:tcPr>
            <w:tcW w:type="dxa" w:w="160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Feature</w:t>
            </w:r>
          </w:p>
        </w:tc>
        <w:tc>
          <w:tcPr>
            <w:tcW w:type="dxa" w:w="1800"/>
            <w:tcBorders>
              <w:top w:val="single" w:color="0F172A" w:sz="1"/>
              <w:left w:val="single" w:color="0F172A" w:sz="1"/>
              <w:bottom w:val="single" w:color="0F172A" w:sz="1"/>
              <w:right w:val="single" w:color="0F172A" w:sz="1"/>
            </w:tcBorders>
            <w:shd w:fill="475569"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Free</w:t>
            </w:r>
          </w:p>
        </w:tc>
        <w:tc>
          <w:tcPr>
            <w:tcW w:type="dxa" w:w="1800"/>
            <w:tcBorders>
              <w:top w:val="single" w:color="0F172A" w:sz="1"/>
              <w:left w:val="single" w:color="0F172A" w:sz="1"/>
              <w:bottom w:val="single" w:color="0F172A" w:sz="1"/>
              <w:right w:val="single" w:color="0F172A" w:sz="1"/>
            </w:tcBorders>
            <w:shd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Starter</w:t>
            </w:r>
          </w:p>
        </w:tc>
        <w:tc>
          <w:tcPr>
            <w:tcW w:type="dxa" w:w="2160"/>
            <w:tcBorders>
              <w:top w:val="single" w:color="0F172A" w:sz="1"/>
              <w:left w:val="single" w:color="0F172A" w:sz="1"/>
              <w:bottom w:val="single" w:color="0F172A" w:sz="1"/>
              <w:right w:val="single" w:color="0F172A" w:sz="1"/>
            </w:tcBorders>
            <w:shd w:fill="1D4ED8"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Growth</w:t>
            </w:r>
          </w:p>
        </w:tc>
        <w:tc>
          <w:tcPr>
            <w:tcW w:type="dxa" w:w="200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Enterprise</w:t>
            </w:r>
          </w:p>
        </w:tc>
      </w:tr>
      <w:tr>
        <w:tc>
          <w:tcPr>
            <w:tcW w:type="dxa" w:w="16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bCs/>
                <w:i w:val="false"/>
                <w:iCs w:val="false"/>
                <w:color w:val="0F172A"/>
                <w:sz w:val="18"/>
                <w:szCs w:val="18"/>
              </w:rPr>
              <w:t xml:space="preserve">Price / month</w:t>
            </w:r>
          </w:p>
        </w:tc>
        <w:tc>
          <w:tcPr>
            <w:tcW w:type="dxa" w:w="1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jc w:val="center"/>
            </w:pPr>
            <w:r>
              <w:rPr>
                <w:rFonts w:ascii="Arial" w:cs="Arial" w:eastAsia="Arial" w:hAnsi="Arial"/>
                <w:b w:val="false"/>
                <w:bCs w:val="false"/>
                <w:i w:val="false"/>
                <w:iCs w:val="false"/>
                <w:color w:val="0F172A"/>
                <w:sz w:val="18"/>
                <w:szCs w:val="18"/>
              </w:rPr>
              <w:t xml:space="preserve">Free</w:t>
            </w:r>
          </w:p>
        </w:tc>
        <w:tc>
          <w:tcPr>
            <w:tcW w:type="dxa" w:w="1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jc w:val="center"/>
            </w:pPr>
            <w:r>
              <w:rPr>
                <w:rFonts w:ascii="Arial" w:cs="Arial" w:eastAsia="Arial" w:hAnsi="Arial"/>
                <w:b w:val="false"/>
                <w:bCs w:val="false"/>
                <w:i w:val="false"/>
                <w:iCs w:val="false"/>
                <w:color w:val="0F172A"/>
                <w:sz w:val="18"/>
                <w:szCs w:val="18"/>
              </w:rPr>
              <w:t xml:space="preserve">₹2,999</w:t>
            </w:r>
          </w:p>
        </w:tc>
        <w:tc>
          <w:tcPr>
            <w:tcW w:type="dxa" w:w="21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jc w:val="center"/>
            </w:pPr>
            <w:r>
              <w:rPr>
                <w:rFonts w:ascii="Arial" w:cs="Arial" w:eastAsia="Arial" w:hAnsi="Arial"/>
                <w:b w:val="false"/>
                <w:bCs w:val="false"/>
                <w:i w:val="false"/>
                <w:iCs w:val="false"/>
                <w:color w:val="0F172A"/>
                <w:sz w:val="18"/>
                <w:szCs w:val="18"/>
              </w:rPr>
              <w:t xml:space="preserve">₹7,999</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jc w:val="center"/>
            </w:pPr>
            <w:r>
              <w:rPr>
                <w:rFonts w:ascii="Arial" w:cs="Arial" w:eastAsia="Arial" w:hAnsi="Arial"/>
                <w:b w:val="false"/>
                <w:bCs w:val="false"/>
                <w:i w:val="false"/>
                <w:iCs w:val="false"/>
                <w:color w:val="0F172A"/>
                <w:sz w:val="18"/>
                <w:szCs w:val="18"/>
              </w:rPr>
              <w:t xml:space="preserve">Custom</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bCs/>
                <w:i w:val="false"/>
                <w:iCs w:val="false"/>
                <w:color w:val="0F172A"/>
                <w:sz w:val="18"/>
                <w:szCs w:val="18"/>
              </w:rPr>
              <w:t xml:space="preserve">Events / month</w:t>
            </w:r>
          </w:p>
        </w:tc>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b w:val="false"/>
                <w:bCs w:val="false"/>
                <w:i w:val="false"/>
                <w:iCs w:val="false"/>
                <w:color w:val="0F172A"/>
                <w:sz w:val="18"/>
                <w:szCs w:val="18"/>
              </w:rPr>
              <w:t xml:space="preserve">1</w:t>
            </w:r>
          </w:p>
        </w:tc>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b w:val="false"/>
                <w:bCs w:val="false"/>
                <w:i w:val="false"/>
                <w:iCs w:val="false"/>
                <w:color w:val="0F172A"/>
                <w:sz w:val="18"/>
                <w:szCs w:val="18"/>
              </w:rPr>
              <w:t xml:space="preserve">Up to 5</w:t>
            </w:r>
          </w:p>
        </w:tc>
        <w:tc>
          <w:tcPr>
            <w:tcW w:type="dxa" w:w="2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b w:val="false"/>
                <w:bCs w:val="false"/>
                <w:i w:val="false"/>
                <w:iCs w:val="false"/>
                <w:color w:val="0F172A"/>
                <w:sz w:val="18"/>
                <w:szCs w:val="18"/>
              </w:rPr>
              <w:t xml:space="preserve">Up to 20</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b w:val="false"/>
                <w:bCs w:val="false"/>
                <w:i w:val="false"/>
                <w:iCs w:val="false"/>
                <w:color w:val="0F172A"/>
                <w:sz w:val="18"/>
                <w:szCs w:val="18"/>
              </w:rPr>
              <w:t xml:space="preserve">Unlimited</w:t>
            </w:r>
          </w:p>
        </w:tc>
      </w:tr>
      <w:tr>
        <w:tc>
          <w:tcPr>
            <w:tcW w:type="dxa" w:w="16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bCs/>
                <w:i w:val="false"/>
                <w:iCs w:val="false"/>
                <w:color w:val="0F172A"/>
                <w:sz w:val="18"/>
                <w:szCs w:val="18"/>
              </w:rPr>
              <w:t xml:space="preserve">AI Features</w:t>
            </w:r>
          </w:p>
        </w:tc>
        <w:tc>
          <w:tcPr>
            <w:tcW w:type="dxa" w:w="1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jc w:val="center"/>
            </w:pPr>
            <w:r>
              <w:rPr>
                <w:rFonts w:ascii="Arial" w:cs="Arial" w:eastAsia="Arial" w:hAnsi="Arial"/>
                <w:b w:val="false"/>
                <w:bCs w:val="false"/>
                <w:i w:val="false"/>
                <w:iCs w:val="false"/>
                <w:color w:val="64748B"/>
                <w:sz w:val="18"/>
                <w:szCs w:val="18"/>
              </w:rPr>
              <w:t xml:space="preserve">—</w:t>
            </w:r>
          </w:p>
        </w:tc>
        <w:tc>
          <w:tcPr>
            <w:tcW w:type="dxa" w:w="1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jc w:val="center"/>
            </w:pPr>
            <w:r>
              <w:rPr>
                <w:rFonts w:ascii="Arial" w:cs="Arial" w:eastAsia="Arial" w:hAnsi="Arial"/>
                <w:b w:val="false"/>
                <w:bCs w:val="false"/>
                <w:i w:val="false"/>
                <w:iCs w:val="false"/>
                <w:color w:val="0F172A"/>
                <w:sz w:val="18"/>
                <w:szCs w:val="18"/>
              </w:rPr>
              <w:t xml:space="preserve">Basic</w:t>
            </w:r>
          </w:p>
        </w:tc>
        <w:tc>
          <w:tcPr>
            <w:tcW w:type="dxa" w:w="21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jc w:val="center"/>
            </w:pPr>
            <w:r>
              <w:rPr>
                <w:rFonts w:ascii="Arial" w:cs="Arial" w:eastAsia="Arial" w:hAnsi="Arial"/>
                <w:b w:val="false"/>
                <w:bCs w:val="false"/>
                <w:i w:val="false"/>
                <w:iCs w:val="false"/>
                <w:color w:val="0F172A"/>
                <w:sz w:val="18"/>
                <w:szCs w:val="18"/>
              </w:rPr>
              <w:t xml:space="preserve">Full</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jc w:val="center"/>
            </w:pPr>
            <w:r>
              <w:rPr>
                <w:rFonts w:ascii="Arial" w:cs="Arial" w:eastAsia="Arial" w:hAnsi="Arial"/>
                <w:b w:val="false"/>
                <w:bCs w:val="false"/>
                <w:i w:val="false"/>
                <w:iCs w:val="false"/>
                <w:color w:val="0F172A"/>
                <w:sz w:val="18"/>
                <w:szCs w:val="18"/>
              </w:rPr>
              <w:t xml:space="preserve">Full + Custom</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bCs/>
                <w:i w:val="false"/>
                <w:iCs w:val="false"/>
                <w:color w:val="0F172A"/>
                <w:sz w:val="18"/>
                <w:szCs w:val="18"/>
              </w:rPr>
              <w:t xml:space="preserve">Mobile App</w:t>
            </w:r>
          </w:p>
        </w:tc>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b w:val="false"/>
                <w:bCs w:val="false"/>
                <w:i w:val="false"/>
                <w:iCs w:val="false"/>
                <w:color w:val="64748B"/>
                <w:sz w:val="18"/>
                <w:szCs w:val="18"/>
              </w:rPr>
              <w:t xml:space="preserve">—</w:t>
            </w:r>
          </w:p>
        </w:tc>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b w:val="false"/>
                <w:bCs w:val="false"/>
                <w:i w:val="false"/>
                <w:iCs w:val="false"/>
                <w:color w:val="15803D"/>
                <w:sz w:val="18"/>
                <w:szCs w:val="18"/>
              </w:rPr>
              <w:t xml:space="preserve">✓</w:t>
            </w:r>
          </w:p>
        </w:tc>
        <w:tc>
          <w:tcPr>
            <w:tcW w:type="dxa" w:w="2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b w:val="false"/>
                <w:bCs w:val="false"/>
                <w:i w:val="false"/>
                <w:iCs w:val="false"/>
                <w:color w:val="15803D"/>
                <w:sz w:val="18"/>
                <w:szCs w:val="18"/>
              </w:rPr>
              <w:t xml:space="preserve">✓</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b w:val="false"/>
                <w:bCs w:val="false"/>
                <w:i w:val="false"/>
                <w:iCs w:val="false"/>
                <w:color w:val="15803D"/>
                <w:sz w:val="18"/>
                <w:szCs w:val="18"/>
              </w:rPr>
              <w:t xml:space="preserve">✓</w:t>
            </w:r>
          </w:p>
        </w:tc>
      </w:tr>
      <w:tr>
        <w:tc>
          <w:tcPr>
            <w:tcW w:type="dxa" w:w="16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bCs/>
                <w:i w:val="false"/>
                <w:iCs w:val="false"/>
                <w:color w:val="0F172A"/>
                <w:sz w:val="18"/>
                <w:szCs w:val="18"/>
              </w:rPr>
              <w:t xml:space="preserve">Offline Sync</w:t>
            </w:r>
          </w:p>
        </w:tc>
        <w:tc>
          <w:tcPr>
            <w:tcW w:type="dxa" w:w="1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jc w:val="center"/>
            </w:pPr>
            <w:r>
              <w:rPr>
                <w:rFonts w:ascii="Arial" w:cs="Arial" w:eastAsia="Arial" w:hAnsi="Arial"/>
                <w:b w:val="false"/>
                <w:bCs w:val="false"/>
                <w:i w:val="false"/>
                <w:iCs w:val="false"/>
                <w:color w:val="64748B"/>
                <w:sz w:val="18"/>
                <w:szCs w:val="18"/>
              </w:rPr>
              <w:t xml:space="preserve">—</w:t>
            </w:r>
          </w:p>
        </w:tc>
        <w:tc>
          <w:tcPr>
            <w:tcW w:type="dxa" w:w="1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jc w:val="center"/>
            </w:pPr>
            <w:r>
              <w:rPr>
                <w:rFonts w:ascii="Arial" w:cs="Arial" w:eastAsia="Arial" w:hAnsi="Arial"/>
                <w:b w:val="false"/>
                <w:bCs w:val="false"/>
                <w:i w:val="false"/>
                <w:iCs w:val="false"/>
                <w:color w:val="64748B"/>
                <w:sz w:val="18"/>
                <w:szCs w:val="18"/>
              </w:rPr>
              <w:t xml:space="preserve">—</w:t>
            </w:r>
          </w:p>
        </w:tc>
        <w:tc>
          <w:tcPr>
            <w:tcW w:type="dxa" w:w="21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jc w:val="center"/>
            </w:pPr>
            <w:r>
              <w:rPr>
                <w:rFonts w:ascii="Arial" w:cs="Arial" w:eastAsia="Arial" w:hAnsi="Arial"/>
                <w:b w:val="false"/>
                <w:bCs w:val="false"/>
                <w:i w:val="false"/>
                <w:iCs w:val="false"/>
                <w:color w:val="15803D"/>
                <w:sz w:val="18"/>
                <w:szCs w:val="18"/>
              </w:rPr>
              <w:t xml:space="preserve">✓</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jc w:val="center"/>
            </w:pPr>
            <w:r>
              <w:rPr>
                <w:rFonts w:ascii="Arial" w:cs="Arial" w:eastAsia="Arial" w:hAnsi="Arial"/>
                <w:b w:val="false"/>
                <w:bCs w:val="false"/>
                <w:i w:val="false"/>
                <w:iCs w:val="false"/>
                <w:color w:val="15803D"/>
                <w:sz w:val="18"/>
                <w:szCs w:val="18"/>
              </w:rPr>
              <w:t xml:space="preserve">✓</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bCs/>
                <w:i w:val="false"/>
                <w:iCs w:val="false"/>
                <w:color w:val="0F172A"/>
                <w:sz w:val="18"/>
                <w:szCs w:val="18"/>
              </w:rPr>
              <w:t xml:space="preserve">White-Label</w:t>
            </w:r>
          </w:p>
        </w:tc>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b w:val="false"/>
                <w:bCs w:val="false"/>
                <w:i w:val="false"/>
                <w:iCs w:val="false"/>
                <w:color w:val="64748B"/>
                <w:sz w:val="18"/>
                <w:szCs w:val="18"/>
              </w:rPr>
              <w:t xml:space="preserve">—</w:t>
            </w:r>
          </w:p>
        </w:tc>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b w:val="false"/>
                <w:bCs w:val="false"/>
                <w:i w:val="false"/>
                <w:iCs w:val="false"/>
                <w:color w:val="64748B"/>
                <w:sz w:val="18"/>
                <w:szCs w:val="18"/>
              </w:rPr>
              <w:t xml:space="preserve">—</w:t>
            </w:r>
          </w:p>
        </w:tc>
        <w:tc>
          <w:tcPr>
            <w:tcW w:type="dxa" w:w="2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b w:val="false"/>
                <w:bCs w:val="false"/>
                <w:i w:val="false"/>
                <w:iCs w:val="false"/>
                <w:color w:val="64748B"/>
                <w:sz w:val="18"/>
                <w:szCs w:val="18"/>
              </w:rPr>
              <w:t xml:space="preserve">—</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b w:val="false"/>
                <w:bCs w:val="false"/>
                <w:i w:val="false"/>
                <w:iCs w:val="false"/>
                <w:color w:val="15803D"/>
                <w:sz w:val="18"/>
                <w:szCs w:val="18"/>
              </w:rPr>
              <w:t xml:space="preserve">✓</w:t>
            </w:r>
          </w:p>
        </w:tc>
      </w:tr>
      <w:tr>
        <w:tc>
          <w:tcPr>
            <w:tcW w:type="dxa" w:w="16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bCs/>
                <w:i w:val="false"/>
                <w:iCs w:val="false"/>
                <w:color w:val="0F172A"/>
                <w:sz w:val="18"/>
                <w:szCs w:val="18"/>
              </w:rPr>
              <w:t xml:space="preserve">Custom Domain</w:t>
            </w:r>
          </w:p>
        </w:tc>
        <w:tc>
          <w:tcPr>
            <w:tcW w:type="dxa" w:w="1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jc w:val="center"/>
            </w:pPr>
            <w:r>
              <w:rPr>
                <w:rFonts w:ascii="Arial" w:cs="Arial" w:eastAsia="Arial" w:hAnsi="Arial"/>
                <w:b w:val="false"/>
                <w:bCs w:val="false"/>
                <w:i w:val="false"/>
                <w:iCs w:val="false"/>
                <w:color w:val="64748B"/>
                <w:sz w:val="18"/>
                <w:szCs w:val="18"/>
              </w:rPr>
              <w:t xml:space="preserve">—</w:t>
            </w:r>
          </w:p>
        </w:tc>
        <w:tc>
          <w:tcPr>
            <w:tcW w:type="dxa" w:w="1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jc w:val="center"/>
            </w:pPr>
            <w:r>
              <w:rPr>
                <w:rFonts w:ascii="Arial" w:cs="Arial" w:eastAsia="Arial" w:hAnsi="Arial"/>
                <w:b w:val="false"/>
                <w:bCs w:val="false"/>
                <w:i w:val="false"/>
                <w:iCs w:val="false"/>
                <w:color w:val="64748B"/>
                <w:sz w:val="18"/>
                <w:szCs w:val="18"/>
              </w:rPr>
              <w:t xml:space="preserve">—</w:t>
            </w:r>
          </w:p>
        </w:tc>
        <w:tc>
          <w:tcPr>
            <w:tcW w:type="dxa" w:w="21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jc w:val="center"/>
            </w:pPr>
            <w:r>
              <w:rPr>
                <w:rFonts w:ascii="Arial" w:cs="Arial" w:eastAsia="Arial" w:hAnsi="Arial"/>
                <w:b w:val="false"/>
                <w:bCs w:val="false"/>
                <w:i w:val="false"/>
                <w:iCs w:val="false"/>
                <w:color w:val="64748B"/>
                <w:sz w:val="18"/>
                <w:szCs w:val="18"/>
              </w:rPr>
              <w:t xml:space="preserve">—</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jc w:val="center"/>
            </w:pPr>
            <w:r>
              <w:rPr>
                <w:rFonts w:ascii="Arial" w:cs="Arial" w:eastAsia="Arial" w:hAnsi="Arial"/>
                <w:b w:val="false"/>
                <w:bCs w:val="false"/>
                <w:i w:val="false"/>
                <w:iCs w:val="false"/>
                <w:color w:val="15803D"/>
                <w:sz w:val="18"/>
                <w:szCs w:val="18"/>
              </w:rPr>
              <w:t xml:space="preserve">✓</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bCs/>
                <w:i w:val="false"/>
                <w:iCs w:val="false"/>
                <w:color w:val="0F172A"/>
                <w:sz w:val="18"/>
                <w:szCs w:val="18"/>
              </w:rPr>
              <w:t xml:space="preserve">SSO / SAML</w:t>
            </w:r>
          </w:p>
        </w:tc>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b w:val="false"/>
                <w:bCs w:val="false"/>
                <w:i w:val="false"/>
                <w:iCs w:val="false"/>
                <w:color w:val="64748B"/>
                <w:sz w:val="18"/>
                <w:szCs w:val="18"/>
              </w:rPr>
              <w:t xml:space="preserve">—</w:t>
            </w:r>
          </w:p>
        </w:tc>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b w:val="false"/>
                <w:bCs w:val="false"/>
                <w:i w:val="false"/>
                <w:iCs w:val="false"/>
                <w:color w:val="64748B"/>
                <w:sz w:val="18"/>
                <w:szCs w:val="18"/>
              </w:rPr>
              <w:t xml:space="preserve">—</w:t>
            </w:r>
          </w:p>
        </w:tc>
        <w:tc>
          <w:tcPr>
            <w:tcW w:type="dxa" w:w="2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b w:val="false"/>
                <w:bCs w:val="false"/>
                <w:i w:val="false"/>
                <w:iCs w:val="false"/>
                <w:color w:val="64748B"/>
                <w:sz w:val="18"/>
                <w:szCs w:val="18"/>
              </w:rPr>
              <w:t xml:space="preserve">—</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b w:val="false"/>
                <w:bCs w:val="false"/>
                <w:i w:val="false"/>
                <w:iCs w:val="false"/>
                <w:color w:val="15803D"/>
                <w:sz w:val="18"/>
                <w:szCs w:val="18"/>
              </w:rPr>
              <w:t xml:space="preserve">✓</w:t>
            </w:r>
          </w:p>
        </w:tc>
      </w:tr>
      <w:tr>
        <w:tc>
          <w:tcPr>
            <w:tcW w:type="dxa" w:w="16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bCs/>
                <w:i w:val="false"/>
                <w:iCs w:val="false"/>
                <w:color w:val="0F172A"/>
                <w:sz w:val="18"/>
                <w:szCs w:val="18"/>
              </w:rPr>
              <w:t xml:space="preserve">Team Members</w:t>
            </w:r>
          </w:p>
        </w:tc>
        <w:tc>
          <w:tcPr>
            <w:tcW w:type="dxa" w:w="1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jc w:val="center"/>
            </w:pPr>
            <w:r>
              <w:rPr>
                <w:rFonts w:ascii="Arial" w:cs="Arial" w:eastAsia="Arial" w:hAnsi="Arial"/>
                <w:b w:val="false"/>
                <w:bCs w:val="false"/>
                <w:i w:val="false"/>
                <w:iCs w:val="false"/>
                <w:color w:val="0F172A"/>
                <w:sz w:val="18"/>
                <w:szCs w:val="18"/>
              </w:rPr>
              <w:t xml:space="preserve">2</w:t>
            </w:r>
          </w:p>
        </w:tc>
        <w:tc>
          <w:tcPr>
            <w:tcW w:type="dxa" w:w="1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jc w:val="center"/>
            </w:pPr>
            <w:r>
              <w:rPr>
                <w:rFonts w:ascii="Arial" w:cs="Arial" w:eastAsia="Arial" w:hAnsi="Arial"/>
                <w:b w:val="false"/>
                <w:bCs w:val="false"/>
                <w:i w:val="false"/>
                <w:iCs w:val="false"/>
                <w:color w:val="0F172A"/>
                <w:sz w:val="18"/>
                <w:szCs w:val="18"/>
              </w:rPr>
              <w:t xml:space="preserve">10</w:t>
            </w:r>
          </w:p>
        </w:tc>
        <w:tc>
          <w:tcPr>
            <w:tcW w:type="dxa" w:w="21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jc w:val="center"/>
            </w:pPr>
            <w:r>
              <w:rPr>
                <w:rFonts w:ascii="Arial" w:cs="Arial" w:eastAsia="Arial" w:hAnsi="Arial"/>
                <w:b w:val="false"/>
                <w:bCs w:val="false"/>
                <w:i w:val="false"/>
                <w:iCs w:val="false"/>
                <w:color w:val="0F172A"/>
                <w:sz w:val="18"/>
                <w:szCs w:val="18"/>
              </w:rPr>
              <w:t xml:space="preserve">50</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jc w:val="center"/>
            </w:pPr>
            <w:r>
              <w:rPr>
                <w:rFonts w:ascii="Arial" w:cs="Arial" w:eastAsia="Arial" w:hAnsi="Arial"/>
                <w:b w:val="false"/>
                <w:bCs w:val="false"/>
                <w:i w:val="false"/>
                <w:iCs w:val="false"/>
                <w:color w:val="0F172A"/>
                <w:sz w:val="18"/>
                <w:szCs w:val="18"/>
              </w:rPr>
              <w:t xml:space="preserve">Unlimited</w:t>
            </w:r>
          </w:p>
        </w:tc>
      </w:tr>
    </w:tbl>
    <w:p>
      <w:pPr>
        <w:spacing w:after="120" w:before="0"/>
      </w:pPr>
      <w:r>
        <w:t xml:space="preserve"/>
      </w:r>
    </w:p>
    <w:p>
      <w:pPr>
        <w:spacing w:after="80" w:before="160"/>
      </w:pPr>
      <w:r>
        <w:rPr>
          <w:rFonts w:ascii="Arial" w:cs="Arial" w:eastAsia="Arial" w:hAnsi="Arial"/>
          <w:b/>
          <w:bCs/>
          <w:i w:val="false"/>
          <w:iCs w:val="false"/>
          <w:color w:val="1D4ED8"/>
          <w:sz w:val="24"/>
          <w:szCs w:val="24"/>
        </w:rPr>
        <w:t xml:space="preserve">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D4ED8" w:sz="1"/>
              <w:left w:val="single" w:color="1D4ED8" w:sz="1"/>
              <w:bottom w:val="single" w:color="1D4ED8" w:sz="1"/>
              <w:right w:val="single" w:color="1D4ED8" w:sz="1"/>
            </w:tcBorders>
            <w:shd w:fill="DBEAFE" w:val="clear"/>
            <w:tcMar>
              <w:top w:type="dxa" w:w="200"/>
              <w:left w:type="dxa" w:w="200"/>
              <w:bottom w:type="dxa" w:w="200"/>
              <w:right w:type="dxa" w:w="200"/>
            </w:tcMar>
            <w:vAlign w:val="center"/>
          </w:tcPr>
          <w:p>
            <w:pPr>
              <w:spacing w:after="60" w:before="0"/>
              <w:jc w:val="center"/>
            </w:pPr>
            <w:r>
              <w:rPr>
                <w:rFonts w:ascii="Arial" w:cs="Arial" w:eastAsia="Arial" w:hAnsi="Arial"/>
                <w:b/>
                <w:bCs/>
                <w:i w:val="false"/>
                <w:iCs w:val="false"/>
                <w:color w:val="1D4ED8"/>
                <w:sz w:val="52"/>
                <w:szCs w:val="52"/>
              </w:rPr>
              <w:t xml:space="preserve">01</w:t>
            </w:r>
          </w:p>
          <w:p>
            <w:pPr>
              <w:spacing w:after="40" w:before="0"/>
              <w:jc w:val="center"/>
            </w:pPr>
            <w:r>
              <w:rPr>
                <w:rFonts w:ascii="Arial" w:cs="Arial" w:eastAsia="Arial" w:hAnsi="Arial"/>
                <w:b/>
                <w:bCs/>
                <w:i w:val="false"/>
                <w:iCs w:val="false"/>
                <w:color w:val="0F172A"/>
                <w:sz w:val="18"/>
                <w:szCs w:val="18"/>
              </w:rPr>
              <w:t xml:space="preserve">SaaS Subscriptions</w:t>
            </w:r>
          </w:p>
          <w:p>
            <w:pPr>
              <w:spacing w:after="0" w:before="0"/>
              <w:jc w:val="center"/>
            </w:pPr>
            <w:r>
              <w:rPr>
                <w:rFonts w:ascii="Arial" w:cs="Arial" w:eastAsia="Arial" w:hAnsi="Arial"/>
                <w:b w:val="false"/>
                <w:bCs w:val="false"/>
                <w:i/>
                <w:iCs/>
                <w:color w:val="64748B"/>
                <w:sz w:val="16"/>
                <w:szCs w:val="16"/>
              </w:rPr>
              <w:t xml:space="preserve">Monthly recurring — core revenue</w:t>
            </w:r>
          </w:p>
        </w:tc>
        <w:tc>
          <w:tcPr>
            <w:tcW w:type="dxa" w:w="2340"/>
            <w:tcBorders>
              <w:top w:val="single" w:color="06B6D4" w:sz="1"/>
              <w:left w:val="single" w:color="06B6D4" w:sz="1"/>
              <w:bottom w:val="single" w:color="06B6D4" w:sz="1"/>
              <w:right w:val="single" w:color="06B6D4" w:sz="1"/>
            </w:tcBorders>
            <w:shd w:fill="CFFAFE" w:val="clear"/>
            <w:tcMar>
              <w:top w:type="dxa" w:w="200"/>
              <w:left w:type="dxa" w:w="200"/>
              <w:bottom w:type="dxa" w:w="200"/>
              <w:right w:type="dxa" w:w="200"/>
            </w:tcMar>
            <w:vAlign w:val="center"/>
          </w:tcPr>
          <w:p>
            <w:pPr>
              <w:spacing w:after="60" w:before="0"/>
              <w:jc w:val="center"/>
            </w:pPr>
            <w:r>
              <w:rPr>
                <w:rFonts w:ascii="Arial" w:cs="Arial" w:eastAsia="Arial" w:hAnsi="Arial"/>
                <w:b/>
                <w:bCs/>
                <w:i w:val="false"/>
                <w:iCs w:val="false"/>
                <w:color w:val="06B6D4"/>
                <w:sz w:val="52"/>
                <w:szCs w:val="52"/>
              </w:rPr>
              <w:t xml:space="preserve">02</w:t>
            </w:r>
          </w:p>
          <w:p>
            <w:pPr>
              <w:spacing w:after="40" w:before="0"/>
              <w:jc w:val="center"/>
            </w:pPr>
            <w:r>
              <w:rPr>
                <w:rFonts w:ascii="Arial" w:cs="Arial" w:eastAsia="Arial" w:hAnsi="Arial"/>
                <w:b/>
                <w:bCs/>
                <w:i w:val="false"/>
                <w:iCs w:val="false"/>
                <w:color w:val="0F172A"/>
                <w:sz w:val="18"/>
                <w:szCs w:val="18"/>
              </w:rPr>
              <w:t xml:space="preserve">Transaction Fees</w:t>
            </w:r>
          </w:p>
          <w:p>
            <w:pPr>
              <w:spacing w:after="0" w:before="0"/>
              <w:jc w:val="center"/>
            </w:pPr>
            <w:r>
              <w:rPr>
                <w:rFonts w:ascii="Arial" w:cs="Arial" w:eastAsia="Arial" w:hAnsi="Arial"/>
                <w:b w:val="false"/>
                <w:bCs w:val="false"/>
                <w:i/>
                <w:iCs/>
                <w:color w:val="64748B"/>
                <w:sz w:val="16"/>
                <w:szCs w:val="16"/>
              </w:rPr>
              <w:t xml:space="preserve">Razorpay — % on payments processed</w:t>
            </w:r>
          </w:p>
        </w:tc>
        <w:tc>
          <w:tcPr>
            <w:tcW w:type="dxa" w:w="2340"/>
            <w:tcBorders>
              <w:top w:val="single" w:color="D97706" w:sz="1"/>
              <w:left w:val="single" w:color="D97706" w:sz="1"/>
              <w:bottom w:val="single" w:color="D97706" w:sz="1"/>
              <w:right w:val="single" w:color="D97706" w:sz="1"/>
            </w:tcBorders>
            <w:shd w:fill="FEF3C7" w:val="clear"/>
            <w:tcMar>
              <w:top w:type="dxa" w:w="200"/>
              <w:left w:type="dxa" w:w="200"/>
              <w:bottom w:type="dxa" w:w="200"/>
              <w:right w:type="dxa" w:w="200"/>
            </w:tcMar>
            <w:vAlign w:val="center"/>
          </w:tcPr>
          <w:p>
            <w:pPr>
              <w:spacing w:after="60" w:before="0"/>
              <w:jc w:val="center"/>
            </w:pPr>
            <w:r>
              <w:rPr>
                <w:rFonts w:ascii="Arial" w:cs="Arial" w:eastAsia="Arial" w:hAnsi="Arial"/>
                <w:b/>
                <w:bCs/>
                <w:i w:val="false"/>
                <w:iCs w:val="false"/>
                <w:color w:val="D97706"/>
                <w:sz w:val="52"/>
                <w:szCs w:val="52"/>
              </w:rPr>
              <w:t xml:space="preserve">03</w:t>
            </w:r>
          </w:p>
          <w:p>
            <w:pPr>
              <w:spacing w:after="40" w:before="0"/>
              <w:jc w:val="center"/>
            </w:pPr>
            <w:r>
              <w:rPr>
                <w:rFonts w:ascii="Arial" w:cs="Arial" w:eastAsia="Arial" w:hAnsi="Arial"/>
                <w:b/>
                <w:bCs/>
                <w:i w:val="false"/>
                <w:iCs w:val="false"/>
                <w:color w:val="0F172A"/>
                <w:sz w:val="18"/>
                <w:szCs w:val="18"/>
              </w:rPr>
              <w:t xml:space="preserve">White-Label Licensing</w:t>
            </w:r>
          </w:p>
          <w:p>
            <w:pPr>
              <w:spacing w:after="0" w:before="0"/>
              <w:jc w:val="center"/>
            </w:pPr>
            <w:r>
              <w:rPr>
                <w:rFonts w:ascii="Arial" w:cs="Arial" w:eastAsia="Arial" w:hAnsi="Arial"/>
                <w:b w:val="false"/>
                <w:bCs w:val="false"/>
                <w:i/>
                <w:iCs/>
                <w:color w:val="64748B"/>
                <w:sz w:val="16"/>
                <w:szCs w:val="16"/>
              </w:rPr>
              <w:t xml:space="preserve">Enterprise tier — branded deployments</w:t>
            </w:r>
          </w:p>
        </w:tc>
        <w:tc>
          <w:tcPr>
            <w:tcW w:type="dxa" w:w="2340"/>
            <w:tcBorders>
              <w:top w:val="single" w:color="15803D" w:sz="1"/>
              <w:left w:val="single" w:color="15803D" w:sz="1"/>
              <w:bottom w:val="single" w:color="15803D" w:sz="1"/>
              <w:right w:val="single" w:color="15803D" w:sz="1"/>
            </w:tcBorders>
            <w:shd w:fill="DCFCE7" w:val="clear"/>
            <w:tcMar>
              <w:top w:type="dxa" w:w="200"/>
              <w:left w:type="dxa" w:w="200"/>
              <w:bottom w:type="dxa" w:w="200"/>
              <w:right w:type="dxa" w:w="200"/>
            </w:tcMar>
            <w:vAlign w:val="center"/>
          </w:tcPr>
          <w:p>
            <w:pPr>
              <w:spacing w:after="60" w:before="0"/>
              <w:jc w:val="center"/>
            </w:pPr>
            <w:r>
              <w:rPr>
                <w:rFonts w:ascii="Arial" w:cs="Arial" w:eastAsia="Arial" w:hAnsi="Arial"/>
                <w:b/>
                <w:bCs/>
                <w:i w:val="false"/>
                <w:iCs w:val="false"/>
                <w:color w:val="15803D"/>
                <w:sz w:val="52"/>
                <w:szCs w:val="52"/>
              </w:rPr>
              <w:t xml:space="preserve">04</w:t>
            </w:r>
          </w:p>
          <w:p>
            <w:pPr>
              <w:spacing w:after="40" w:before="0"/>
              <w:jc w:val="center"/>
            </w:pPr>
            <w:r>
              <w:rPr>
                <w:rFonts w:ascii="Arial" w:cs="Arial" w:eastAsia="Arial" w:hAnsi="Arial"/>
                <w:b/>
                <w:bCs/>
                <w:i w:val="false"/>
                <w:iCs w:val="false"/>
                <w:color w:val="0F172A"/>
                <w:sz w:val="18"/>
                <w:szCs w:val="18"/>
              </w:rPr>
              <w:t xml:space="preserve">AI Usage Tiers</w:t>
            </w:r>
          </w:p>
          <w:p>
            <w:pPr>
              <w:spacing w:after="0" w:before="0"/>
              <w:jc w:val="center"/>
            </w:pPr>
            <w:r>
              <w:rPr>
                <w:rFonts w:ascii="Arial" w:cs="Arial" w:eastAsia="Arial" w:hAnsi="Arial"/>
                <w:b w:val="false"/>
                <w:bCs w:val="false"/>
                <w:i/>
                <w:iCs/>
                <w:color w:val="64748B"/>
                <w:sz w:val="16"/>
                <w:szCs w:val="16"/>
              </w:rPr>
              <w:t xml:space="preserve">Token consumption on enterprise plans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D97706" w:sz="24"/>
              <w:bottom w:val="none" w:color="FFFFFF" w:sz="0"/>
              <w:right w:val="none" w:color="FFFFFF" w:sz="0"/>
            </w:tcBorders>
            <w:shd w:fill="FEF3C7" w:val="clear"/>
            <w:tcMar>
              <w:top w:type="dxa" w:w="160"/>
              <w:left w:type="dxa" w:w="300"/>
              <w:bottom w:type="dxa" w:w="160"/>
              <w:right w:type="dxa" w:w="200"/>
            </w:tcMar>
          </w:tcPr>
          <w:p>
            <w:pPr>
              <w:spacing w:after="60" w:before="0"/>
            </w:pPr>
            <w:r>
              <w:rPr>
                <w:rFonts w:ascii="Arial" w:cs="Arial" w:eastAsia="Arial" w:hAnsi="Arial"/>
                <w:b/>
                <w:bCs/>
                <w:i w:val="false"/>
                <w:iCs w:val="false"/>
                <w:color w:val="D97706"/>
                <w:sz w:val="18"/>
                <w:szCs w:val="18"/>
              </w:rPr>
              <w:t xml:space="preserve">Growth Mechanic</w:t>
            </w:r>
          </w:p>
          <w:p>
            <w:pPr>
              <w:spacing w:after="0" w:before="0"/>
            </w:pPr>
            <w:r>
              <w:rPr>
                <w:rFonts w:ascii="Arial" w:cs="Arial" w:eastAsia="Arial" w:hAnsi="Arial"/>
                <w:b w:val="false"/>
                <w:bCs w:val="false"/>
                <w:i/>
                <w:iCs/>
                <w:color w:val="0F172A"/>
                <w:sz w:val="21"/>
                <w:szCs w:val="21"/>
              </w:rPr>
              <w:t xml:space="preserve">The freemium model is engineered for virality — every guest who experiences an OccasionPro-powered event sees the product. Every vendor paid through Razorpay Route is a potential new company account.</w:t>
            </w:r>
          </w:p>
        </w:tc>
      </w:tr>
    </w:tbl>
    <w:p>
      <w:pPr>
        <w:spacing w:after="120" w:before="0"/>
      </w:pPr>
      <w:r>
        <w:t xml:space="preserve"/>
      </w:r>
    </w:p>
    <w:p>
      <w:r>
        <w:br w:type="page"/>
      </w:r>
    </w:p>
    <w:p>
      <w:pPr>
        <w:spacing w:after="200" w:before="0"/>
      </w:pPr>
      <w:r>
        <w:t xml:space="preserve"/>
      </w:r>
    </w:p>
    <w:p>
      <w:pPr>
        <w:spacing w:after="60" w:before="0"/>
      </w:pPr>
      <w:r>
        <w:rPr>
          <w:rFonts w:ascii="Arial" w:cs="Arial" w:eastAsia="Arial" w:hAnsi="Arial"/>
          <w:b/>
          <w:bCs/>
          <w:i w:val="false"/>
          <w:iCs w:val="false"/>
          <w:color w:val="0F172A"/>
          <w:sz w:val="36"/>
          <w:szCs w:val="36"/>
        </w:rPr>
        <w:t xml:space="preserve">Technology Foundation</w:t>
      </w:r>
    </w:p>
    <w:p>
      <w:pPr>
        <w:pBdr>
          <w:bottom w:val="single" w:color="0F172A" w:sz="8" w:space="1"/>
        </w:pBdr>
        <w:spacing w:after="0" w:before="0"/>
      </w:pPr>
      <w:r>
        <w:t xml:space="preserve"/>
      </w:r>
    </w:p>
    <w:p>
      <w:pPr>
        <w:spacing w:after="80" w:before="0"/>
      </w:pPr>
      <w:r>
        <w:t xml:space="preserve"/>
      </w:r>
    </w:p>
    <w:p>
      <w:pPr>
        <w:spacing w:after="120" w:before="0"/>
      </w:pPr>
      <w:r>
        <w:rPr>
          <w:rFonts w:ascii="Arial" w:cs="Arial" w:eastAsia="Arial" w:hAnsi="Arial"/>
          <w:b w:val="false"/>
          <w:bCs w:val="false"/>
          <w:i w:val="false"/>
          <w:iCs w:val="false"/>
          <w:color w:val="475569"/>
          <w:sz w:val="20"/>
          <w:szCs w:val="20"/>
        </w:rPr>
        <w:t xml:space="preserve">OccasionPro is built on a modern, globally scalable, serverless-first architecture. Every technology choice was made to maximise performance, minimise operational cost, and enable rapid scaling without infrastructure bottlenecks.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06B6D4" w:sz="24"/>
              <w:bottom w:val="none" w:color="FFFFFF" w:sz="0"/>
              <w:right w:val="none" w:color="FFFFFF" w:sz="0"/>
            </w:tcBorders>
            <w:shd w:fill="CFFAFE" w:val="clear"/>
            <w:tcMar>
              <w:top w:type="dxa" w:w="160"/>
              <w:left w:type="dxa" w:w="300"/>
              <w:bottom w:type="dxa" w:w="160"/>
              <w:right w:type="dxa" w:w="200"/>
            </w:tcMar>
          </w:tcPr>
          <w:p>
            <w:pPr>
              <w:spacing w:after="60" w:before="0"/>
            </w:pPr>
            <w:r>
              <w:rPr>
                <w:rFonts w:ascii="Arial" w:cs="Arial" w:eastAsia="Arial" w:hAnsi="Arial"/>
                <w:b/>
                <w:bCs/>
                <w:i w:val="false"/>
                <w:iCs w:val="false"/>
                <w:color w:val="06B6D4"/>
                <w:sz w:val="18"/>
                <w:szCs w:val="18"/>
              </w:rPr>
              <w:t xml:space="preserve">Zero-Cost Build Strategy</w:t>
            </w:r>
          </w:p>
          <w:p>
            <w:pPr>
              <w:spacing w:after="0" w:before="0"/>
            </w:pPr>
            <w:r>
              <w:rPr>
                <w:rFonts w:ascii="Arial" w:cs="Arial" w:eastAsia="Arial" w:hAnsi="Arial"/>
                <w:b w:val="false"/>
                <w:bCs w:val="false"/>
                <w:i/>
                <w:iCs/>
                <w:color w:val="0F172A"/>
                <w:sz w:val="21"/>
                <w:szCs w:val="21"/>
              </w:rPr>
              <w:t xml:space="preserve">The entire platform is engineered to run at enterprise scale with zero infrastructure cost during the build phase — using free tiers of best-in-class tools and self-hosted open source systems.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0F172A" w:sz="1"/>
              <w:left w:val="single" w:color="0F172A" w:sz="1"/>
              <w:bottom w:val="single" w:color="0F172A" w:sz="1"/>
              <w:right w:val="single" w:color="0F172A" w:sz="1"/>
            </w:tcBorders>
            <w:shd w:fill="0F172A" w:val="clear"/>
            <w:tcMar>
              <w:top w:type="dxa" w:w="80"/>
              <w:left w:type="dxa" w:w="140"/>
              <w:bottom w:type="dxa" w:w="80"/>
              <w:right w:type="dxa" w:w="140"/>
            </w:tcMar>
          </w:tcPr>
          <w:p>
            <w:r>
              <w:rPr>
                <w:rFonts w:ascii="Arial" w:cs="Arial" w:eastAsia="Arial" w:hAnsi="Arial"/>
                <w:b/>
                <w:bCs/>
                <w:i w:val="false"/>
                <w:iCs w:val="false"/>
                <w:color w:val="FFFFFF"/>
                <w:sz w:val="18"/>
                <w:szCs w:val="18"/>
              </w:rPr>
              <w:t xml:space="preserve">Layer</w:t>
            </w:r>
          </w:p>
        </w:tc>
        <w:tc>
          <w:tcPr>
            <w:tcW w:type="dxa" w:w="7360"/>
            <w:tcBorders>
              <w:top w:val="single" w:color="0F172A" w:sz="1"/>
              <w:left w:val="single" w:color="0F172A" w:sz="1"/>
              <w:bottom w:val="single" w:color="0F172A" w:sz="1"/>
              <w:right w:val="single" w:color="0F172A" w:sz="1"/>
            </w:tcBorders>
            <w:shd w:fill="0F172A" w:val="clear"/>
            <w:tcMar>
              <w:top w:type="dxa" w:w="80"/>
              <w:left w:type="dxa" w:w="140"/>
              <w:bottom w:type="dxa" w:w="80"/>
              <w:right w:type="dxa" w:w="140"/>
            </w:tcMar>
          </w:tcPr>
          <w:p>
            <w:r>
              <w:rPr>
                <w:rFonts w:ascii="Arial" w:cs="Arial" w:eastAsia="Arial" w:hAnsi="Arial"/>
                <w:b/>
                <w:bCs/>
                <w:i w:val="false"/>
                <w:iCs w:val="false"/>
                <w:color w:val="FFFFFF"/>
                <w:sz w:val="18"/>
                <w:szCs w:val="18"/>
              </w:rPr>
              <w:t xml:space="preserve">Technologies</w:t>
            </w:r>
          </w:p>
        </w:tc>
      </w:tr>
      <w:tr>
        <w:tc>
          <w:tcPr>
            <w:tcW w:type="dxa" w:w="2000"/>
            <w:tcBorders>
              <w:top w:val="single" w:color="CBD5E1" w:sz="1"/>
              <w:left w:val="single" w:color="CBD5E1" w:sz="1"/>
              <w:bottom w:val="single" w:color="CBD5E1" w:sz="1"/>
              <w:right w:val="single" w:color="CBD5E1" w:sz="1"/>
            </w:tcBorders>
            <w:shd w:fill="F8FAFC" w:val="clear"/>
            <w:tcMar>
              <w:top w:type="dxa" w:w="70"/>
              <w:left w:type="dxa" w:w="140"/>
              <w:bottom w:type="dxa" w:w="70"/>
              <w:right w:type="dxa" w:w="140"/>
            </w:tcMar>
          </w:tcPr>
          <w:p>
            <w:r>
              <w:rPr>
                <w:rFonts w:ascii="Arial" w:cs="Arial" w:eastAsia="Arial" w:hAnsi="Arial"/>
                <w:b/>
                <w:bCs/>
                <w:i w:val="false"/>
                <w:iCs w:val="false"/>
                <w:color w:val="0F172A"/>
                <w:sz w:val="18"/>
                <w:szCs w:val="18"/>
              </w:rPr>
              <w:t xml:space="preserve">Web Frontend</w:t>
            </w:r>
          </w:p>
        </w:tc>
        <w:tc>
          <w:tcPr>
            <w:tcW w:type="dxa" w:w="7360"/>
            <w:tcBorders>
              <w:top w:val="single" w:color="CBD5E1" w:sz="1"/>
              <w:left w:val="single" w:color="CBD5E1" w:sz="1"/>
              <w:bottom w:val="single" w:color="CBD5E1" w:sz="1"/>
              <w:right w:val="single" w:color="CBD5E1" w:sz="1"/>
            </w:tcBorders>
            <w:shd w:fill="F8FAFC" w:val="clear"/>
            <w:tcMar>
              <w:top w:type="dxa" w:w="70"/>
              <w:left w:type="dxa" w:w="140"/>
              <w:bottom w:type="dxa" w:w="70"/>
              <w:right w:type="dxa" w:w="140"/>
            </w:tcMar>
          </w:tcPr>
          <w:p>
            <w:r>
              <w:rPr>
                <w:rFonts w:ascii="Arial" w:cs="Arial" w:eastAsia="Arial" w:hAnsi="Arial"/>
                <w:b w:val="false"/>
                <w:bCs w:val="false"/>
                <w:i w:val="false"/>
                <w:iCs w:val="false"/>
                <w:color w:val="475569"/>
                <w:sz w:val="18"/>
                <w:szCs w:val="18"/>
              </w:rPr>
              <w:t xml:space="preserve">Next.js · TypeScript · Tailwind CSS · ShadCN UI · Framer Motion</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r>
              <w:rPr>
                <w:rFonts w:ascii="Arial" w:cs="Arial" w:eastAsia="Arial" w:hAnsi="Arial"/>
                <w:b/>
                <w:bCs/>
                <w:i w:val="false"/>
                <w:iCs w:val="false"/>
                <w:color w:val="0F172A"/>
                <w:sz w:val="18"/>
                <w:szCs w:val="18"/>
              </w:rPr>
              <w:t xml:space="preserve">Mobile Apps</w:t>
            </w:r>
          </w:p>
        </w:tc>
        <w:tc>
          <w:tcPr>
            <w:tcW w:type="dxa" w:w="73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475569"/>
                <w:sz w:val="18"/>
                <w:szCs w:val="18"/>
              </w:rPr>
              <w:t xml:space="preserve">React Native · Expo — iOS and Android native apps</w:t>
            </w:r>
          </w:p>
        </w:tc>
      </w:tr>
      <w:tr>
        <w:tc>
          <w:tcPr>
            <w:tcW w:type="dxa" w:w="2000"/>
            <w:tcBorders>
              <w:top w:val="single" w:color="CBD5E1" w:sz="1"/>
              <w:left w:val="single" w:color="CBD5E1" w:sz="1"/>
              <w:bottom w:val="single" w:color="CBD5E1" w:sz="1"/>
              <w:right w:val="single" w:color="CBD5E1" w:sz="1"/>
            </w:tcBorders>
            <w:shd w:fill="F8FAFC" w:val="clear"/>
            <w:tcMar>
              <w:top w:type="dxa" w:w="70"/>
              <w:left w:type="dxa" w:w="140"/>
              <w:bottom w:type="dxa" w:w="70"/>
              <w:right w:type="dxa" w:w="140"/>
            </w:tcMar>
          </w:tcPr>
          <w:p>
            <w:r>
              <w:rPr>
                <w:rFonts w:ascii="Arial" w:cs="Arial" w:eastAsia="Arial" w:hAnsi="Arial"/>
                <w:b/>
                <w:bCs/>
                <w:i w:val="false"/>
                <w:iCs w:val="false"/>
                <w:color w:val="0F172A"/>
                <w:sz w:val="18"/>
                <w:szCs w:val="18"/>
              </w:rPr>
              <w:t xml:space="preserve">API Backend</w:t>
            </w:r>
          </w:p>
        </w:tc>
        <w:tc>
          <w:tcPr>
            <w:tcW w:type="dxa" w:w="7360"/>
            <w:tcBorders>
              <w:top w:val="single" w:color="CBD5E1" w:sz="1"/>
              <w:left w:val="single" w:color="CBD5E1" w:sz="1"/>
              <w:bottom w:val="single" w:color="CBD5E1" w:sz="1"/>
              <w:right w:val="single" w:color="CBD5E1" w:sz="1"/>
            </w:tcBorders>
            <w:shd w:fill="F8FAFC" w:val="clear"/>
            <w:tcMar>
              <w:top w:type="dxa" w:w="70"/>
              <w:left w:type="dxa" w:w="140"/>
              <w:bottom w:type="dxa" w:w="70"/>
              <w:right w:type="dxa" w:w="140"/>
            </w:tcMar>
          </w:tcPr>
          <w:p>
            <w:r>
              <w:rPr>
                <w:rFonts w:ascii="Arial" w:cs="Arial" w:eastAsia="Arial" w:hAnsi="Arial"/>
                <w:b w:val="false"/>
                <w:bCs w:val="false"/>
                <w:i w:val="false"/>
                <w:iCs w:val="false"/>
                <w:color w:val="475569"/>
                <w:sz w:val="18"/>
                <w:szCs w:val="18"/>
              </w:rPr>
              <w:t xml:space="preserve">NestJS · Supabase Edge Functions — enterprise business logic</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r>
              <w:rPr>
                <w:rFonts w:ascii="Arial" w:cs="Arial" w:eastAsia="Arial" w:hAnsi="Arial"/>
                <w:b/>
                <w:bCs/>
                <w:i w:val="false"/>
                <w:iCs w:val="false"/>
                <w:color w:val="0F172A"/>
                <w:sz w:val="18"/>
                <w:szCs w:val="18"/>
              </w:rPr>
              <w:t xml:space="preserve">Database</w:t>
            </w:r>
          </w:p>
        </w:tc>
        <w:tc>
          <w:tcPr>
            <w:tcW w:type="dxa" w:w="73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475569"/>
                <w:sz w:val="18"/>
                <w:szCs w:val="18"/>
              </w:rPr>
              <w:t xml:space="preserve">Supabase (PostgreSQL) — Row Level Security for multi-tenancy</w:t>
            </w:r>
          </w:p>
        </w:tc>
      </w:tr>
      <w:tr>
        <w:tc>
          <w:tcPr>
            <w:tcW w:type="dxa" w:w="2000"/>
            <w:tcBorders>
              <w:top w:val="single" w:color="CBD5E1" w:sz="1"/>
              <w:left w:val="single" w:color="CBD5E1" w:sz="1"/>
              <w:bottom w:val="single" w:color="CBD5E1" w:sz="1"/>
              <w:right w:val="single" w:color="CBD5E1" w:sz="1"/>
            </w:tcBorders>
            <w:shd w:fill="F8FAFC" w:val="clear"/>
            <w:tcMar>
              <w:top w:type="dxa" w:w="70"/>
              <w:left w:type="dxa" w:w="140"/>
              <w:bottom w:type="dxa" w:w="70"/>
              <w:right w:type="dxa" w:w="140"/>
            </w:tcMar>
          </w:tcPr>
          <w:p>
            <w:r>
              <w:rPr>
                <w:rFonts w:ascii="Arial" w:cs="Arial" w:eastAsia="Arial" w:hAnsi="Arial"/>
                <w:b/>
                <w:bCs/>
                <w:i w:val="false"/>
                <w:iCs w:val="false"/>
                <w:color w:val="0F172A"/>
                <w:sz w:val="18"/>
                <w:szCs w:val="18"/>
              </w:rPr>
              <w:t xml:space="preserve">Authentication</w:t>
            </w:r>
          </w:p>
        </w:tc>
        <w:tc>
          <w:tcPr>
            <w:tcW w:type="dxa" w:w="7360"/>
            <w:tcBorders>
              <w:top w:val="single" w:color="CBD5E1" w:sz="1"/>
              <w:left w:val="single" w:color="CBD5E1" w:sz="1"/>
              <w:bottom w:val="single" w:color="CBD5E1" w:sz="1"/>
              <w:right w:val="single" w:color="CBD5E1" w:sz="1"/>
            </w:tcBorders>
            <w:shd w:fill="F8FAFC" w:val="clear"/>
            <w:tcMar>
              <w:top w:type="dxa" w:w="70"/>
              <w:left w:type="dxa" w:w="140"/>
              <w:bottom w:type="dxa" w:w="70"/>
              <w:right w:type="dxa" w:w="140"/>
            </w:tcMar>
          </w:tcPr>
          <w:p>
            <w:r>
              <w:rPr>
                <w:rFonts w:ascii="Arial" w:cs="Arial" w:eastAsia="Arial" w:hAnsi="Arial"/>
                <w:b w:val="false"/>
                <w:bCs w:val="false"/>
                <w:i w:val="false"/>
                <w:iCs w:val="false"/>
                <w:color w:val="475569"/>
                <w:sz w:val="18"/>
                <w:szCs w:val="18"/>
              </w:rPr>
              <w:t xml:space="preserve">Supabase Auth — Google OAuth · Email · Magic Link · MFA · SAML SSO</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r>
              <w:rPr>
                <w:rFonts w:ascii="Arial" w:cs="Arial" w:eastAsia="Arial" w:hAnsi="Arial"/>
                <w:b/>
                <w:bCs/>
                <w:i w:val="false"/>
                <w:iCs w:val="false"/>
                <w:color w:val="0F172A"/>
                <w:sz w:val="18"/>
                <w:szCs w:val="18"/>
              </w:rPr>
              <w:t xml:space="preserve">Realtime</w:t>
            </w:r>
          </w:p>
        </w:tc>
        <w:tc>
          <w:tcPr>
            <w:tcW w:type="dxa" w:w="73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475569"/>
                <w:sz w:val="18"/>
                <w:szCs w:val="18"/>
              </w:rPr>
              <w:t xml:space="preserve">Supabase Realtime · Cloudflare Durable Objects — live event coordination</w:t>
            </w:r>
          </w:p>
        </w:tc>
      </w:tr>
      <w:tr>
        <w:tc>
          <w:tcPr>
            <w:tcW w:type="dxa" w:w="2000"/>
            <w:tcBorders>
              <w:top w:val="single" w:color="CBD5E1" w:sz="1"/>
              <w:left w:val="single" w:color="CBD5E1" w:sz="1"/>
              <w:bottom w:val="single" w:color="CBD5E1" w:sz="1"/>
              <w:right w:val="single" w:color="CBD5E1" w:sz="1"/>
            </w:tcBorders>
            <w:shd w:fill="F8FAFC" w:val="clear"/>
            <w:tcMar>
              <w:top w:type="dxa" w:w="70"/>
              <w:left w:type="dxa" w:w="140"/>
              <w:bottom w:type="dxa" w:w="70"/>
              <w:right w:type="dxa" w:w="140"/>
            </w:tcMar>
          </w:tcPr>
          <w:p>
            <w:r>
              <w:rPr>
                <w:rFonts w:ascii="Arial" w:cs="Arial" w:eastAsia="Arial" w:hAnsi="Arial"/>
                <w:b/>
                <w:bCs/>
                <w:i w:val="false"/>
                <w:iCs w:val="false"/>
                <w:color w:val="0F172A"/>
                <w:sz w:val="18"/>
                <w:szCs w:val="18"/>
              </w:rPr>
              <w:t xml:space="preserve">Offline Sync</w:t>
            </w:r>
          </w:p>
        </w:tc>
        <w:tc>
          <w:tcPr>
            <w:tcW w:type="dxa" w:w="7360"/>
            <w:tcBorders>
              <w:top w:val="single" w:color="CBD5E1" w:sz="1"/>
              <w:left w:val="single" w:color="CBD5E1" w:sz="1"/>
              <w:bottom w:val="single" w:color="CBD5E1" w:sz="1"/>
              <w:right w:val="single" w:color="CBD5E1" w:sz="1"/>
            </w:tcBorders>
            <w:shd w:fill="F8FAFC" w:val="clear"/>
            <w:tcMar>
              <w:top w:type="dxa" w:w="70"/>
              <w:left w:type="dxa" w:w="140"/>
              <w:bottom w:type="dxa" w:w="70"/>
              <w:right w:type="dxa" w:w="140"/>
            </w:tcMar>
          </w:tcPr>
          <w:p>
            <w:r>
              <w:rPr>
                <w:rFonts w:ascii="Arial" w:cs="Arial" w:eastAsia="Arial" w:hAnsi="Arial"/>
                <w:b w:val="false"/>
                <w:bCs w:val="false"/>
                <w:i w:val="false"/>
                <w:iCs w:val="false"/>
                <w:color w:val="475569"/>
                <w:sz w:val="18"/>
                <w:szCs w:val="18"/>
              </w:rPr>
              <w:t xml:space="preserve">ElectricSQL (self-hosted) · WatermelonDB — full field operations offline</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r>
              <w:rPr>
                <w:rFonts w:ascii="Arial" w:cs="Arial" w:eastAsia="Arial" w:hAnsi="Arial"/>
                <w:b/>
                <w:bCs/>
                <w:i w:val="false"/>
                <w:iCs w:val="false"/>
                <w:color w:val="0F172A"/>
                <w:sz w:val="18"/>
                <w:szCs w:val="18"/>
              </w:rPr>
              <w:t xml:space="preserve">Edge &amp; CDN</w:t>
            </w:r>
          </w:p>
        </w:tc>
        <w:tc>
          <w:tcPr>
            <w:tcW w:type="dxa" w:w="73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475569"/>
                <w:sz w:val="18"/>
                <w:szCs w:val="18"/>
              </w:rPr>
              <w:t xml:space="preserve">Cloudflare Workers · Pages · R2 · KV · Queues · AI Gateway · Zero Trust</w:t>
            </w:r>
          </w:p>
        </w:tc>
      </w:tr>
      <w:tr>
        <w:tc>
          <w:tcPr>
            <w:tcW w:type="dxa" w:w="2000"/>
            <w:tcBorders>
              <w:top w:val="single" w:color="CBD5E1" w:sz="1"/>
              <w:left w:val="single" w:color="CBD5E1" w:sz="1"/>
              <w:bottom w:val="single" w:color="CBD5E1" w:sz="1"/>
              <w:right w:val="single" w:color="CBD5E1" w:sz="1"/>
            </w:tcBorders>
            <w:shd w:fill="F8FAFC" w:val="clear"/>
            <w:tcMar>
              <w:top w:type="dxa" w:w="70"/>
              <w:left w:type="dxa" w:w="140"/>
              <w:bottom w:type="dxa" w:w="70"/>
              <w:right w:type="dxa" w:w="140"/>
            </w:tcMar>
          </w:tcPr>
          <w:p>
            <w:r>
              <w:rPr>
                <w:rFonts w:ascii="Arial" w:cs="Arial" w:eastAsia="Arial" w:hAnsi="Arial"/>
                <w:b/>
                <w:bCs/>
                <w:i w:val="false"/>
                <w:iCs w:val="false"/>
                <w:color w:val="0F172A"/>
                <w:sz w:val="18"/>
                <w:szCs w:val="18"/>
              </w:rPr>
              <w:t xml:space="preserve">AI Layer</w:t>
            </w:r>
          </w:p>
        </w:tc>
        <w:tc>
          <w:tcPr>
            <w:tcW w:type="dxa" w:w="7360"/>
            <w:tcBorders>
              <w:top w:val="single" w:color="CBD5E1" w:sz="1"/>
              <w:left w:val="single" w:color="CBD5E1" w:sz="1"/>
              <w:bottom w:val="single" w:color="CBD5E1" w:sz="1"/>
              <w:right w:val="single" w:color="CBD5E1" w:sz="1"/>
            </w:tcBorders>
            <w:shd w:fill="F8FAFC" w:val="clear"/>
            <w:tcMar>
              <w:top w:type="dxa" w:w="70"/>
              <w:left w:type="dxa" w:w="140"/>
              <w:bottom w:type="dxa" w:w="70"/>
              <w:right w:type="dxa" w:w="140"/>
            </w:tcMar>
          </w:tcPr>
          <w:p>
            <w:r>
              <w:rPr>
                <w:rFonts w:ascii="Arial" w:cs="Arial" w:eastAsia="Arial" w:hAnsi="Arial"/>
                <w:b w:val="false"/>
                <w:bCs w:val="false"/>
                <w:i w:val="false"/>
                <w:iCs w:val="false"/>
                <w:color w:val="475569"/>
                <w:sz w:val="18"/>
                <w:szCs w:val="18"/>
              </w:rPr>
              <w:t xml:space="preserve">LiteLLM (self-hosted) — provider-agnostic routing to any LLM (OpenAI, Anthropic, Gemini)</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r>
              <w:rPr>
                <w:rFonts w:ascii="Arial" w:cs="Arial" w:eastAsia="Arial" w:hAnsi="Arial"/>
                <w:b/>
                <w:bCs/>
                <w:i w:val="false"/>
                <w:iCs w:val="false"/>
                <w:color w:val="0F172A"/>
                <w:sz w:val="18"/>
                <w:szCs w:val="18"/>
              </w:rPr>
              <w:t xml:space="preserve">Payments</w:t>
            </w:r>
          </w:p>
        </w:tc>
        <w:tc>
          <w:tcPr>
            <w:tcW w:type="dxa" w:w="73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475569"/>
                <w:sz w:val="18"/>
                <w:szCs w:val="18"/>
              </w:rPr>
              <w:t xml:space="preserve">Razorpay — Gateway · Route · Subscriptions · International payments</w:t>
            </w:r>
          </w:p>
        </w:tc>
      </w:tr>
      <w:tr>
        <w:tc>
          <w:tcPr>
            <w:tcW w:type="dxa" w:w="2000"/>
            <w:tcBorders>
              <w:top w:val="single" w:color="CBD5E1" w:sz="1"/>
              <w:left w:val="single" w:color="CBD5E1" w:sz="1"/>
              <w:bottom w:val="single" w:color="CBD5E1" w:sz="1"/>
              <w:right w:val="single" w:color="CBD5E1" w:sz="1"/>
            </w:tcBorders>
            <w:shd w:fill="F8FAFC" w:val="clear"/>
            <w:tcMar>
              <w:top w:type="dxa" w:w="70"/>
              <w:left w:type="dxa" w:w="140"/>
              <w:bottom w:type="dxa" w:w="70"/>
              <w:right w:type="dxa" w:w="140"/>
            </w:tcMar>
          </w:tcPr>
          <w:p>
            <w:r>
              <w:rPr>
                <w:rFonts w:ascii="Arial" w:cs="Arial" w:eastAsia="Arial" w:hAnsi="Arial"/>
                <w:b/>
                <w:bCs/>
                <w:i w:val="false"/>
                <w:iCs w:val="false"/>
                <w:color w:val="0F172A"/>
                <w:sz w:val="18"/>
                <w:szCs w:val="18"/>
              </w:rPr>
              <w:t xml:space="preserve">Background Jobs</w:t>
            </w:r>
          </w:p>
        </w:tc>
        <w:tc>
          <w:tcPr>
            <w:tcW w:type="dxa" w:w="7360"/>
            <w:tcBorders>
              <w:top w:val="single" w:color="CBD5E1" w:sz="1"/>
              <w:left w:val="single" w:color="CBD5E1" w:sz="1"/>
              <w:bottom w:val="single" w:color="CBD5E1" w:sz="1"/>
              <w:right w:val="single" w:color="CBD5E1" w:sz="1"/>
            </w:tcBorders>
            <w:shd w:fill="F8FAFC" w:val="clear"/>
            <w:tcMar>
              <w:top w:type="dxa" w:w="70"/>
              <w:left w:type="dxa" w:w="140"/>
              <w:bottom w:type="dxa" w:w="70"/>
              <w:right w:type="dxa" w:w="140"/>
            </w:tcMar>
          </w:tcPr>
          <w:p>
            <w:r>
              <w:rPr>
                <w:rFonts w:ascii="Arial" w:cs="Arial" w:eastAsia="Arial" w:hAnsi="Arial"/>
                <w:b w:val="false"/>
                <w:bCs w:val="false"/>
                <w:i w:val="false"/>
                <w:iCs w:val="false"/>
                <w:color w:val="475569"/>
                <w:sz w:val="18"/>
                <w:szCs w:val="18"/>
              </w:rPr>
              <w:t xml:space="preserve">Inngest — complex multi-step workflow automation</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r>
              <w:rPr>
                <w:rFonts w:ascii="Arial" w:cs="Arial" w:eastAsia="Arial" w:hAnsi="Arial"/>
                <w:b/>
                <w:bCs/>
                <w:i w:val="false"/>
                <w:iCs w:val="false"/>
                <w:color w:val="0F172A"/>
                <w:sz w:val="18"/>
                <w:szCs w:val="18"/>
              </w:rPr>
              <w:t xml:space="preserve">Email</w:t>
            </w:r>
          </w:p>
        </w:tc>
        <w:tc>
          <w:tcPr>
            <w:tcW w:type="dxa" w:w="73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475569"/>
                <w:sz w:val="18"/>
                <w:szCs w:val="18"/>
              </w:rPr>
              <w:t xml:space="preserve">Brevo — transactional and marketing emails</w:t>
            </w:r>
          </w:p>
        </w:tc>
      </w:tr>
      <w:tr>
        <w:tc>
          <w:tcPr>
            <w:tcW w:type="dxa" w:w="2000"/>
            <w:tcBorders>
              <w:top w:val="single" w:color="CBD5E1" w:sz="1"/>
              <w:left w:val="single" w:color="CBD5E1" w:sz="1"/>
              <w:bottom w:val="single" w:color="CBD5E1" w:sz="1"/>
              <w:right w:val="single" w:color="CBD5E1" w:sz="1"/>
            </w:tcBorders>
            <w:shd w:fill="F8FAFC" w:val="clear"/>
            <w:tcMar>
              <w:top w:type="dxa" w:w="70"/>
              <w:left w:type="dxa" w:w="140"/>
              <w:bottom w:type="dxa" w:w="70"/>
              <w:right w:type="dxa" w:w="140"/>
            </w:tcMar>
          </w:tcPr>
          <w:p>
            <w:r>
              <w:rPr>
                <w:rFonts w:ascii="Arial" w:cs="Arial" w:eastAsia="Arial" w:hAnsi="Arial"/>
                <w:b/>
                <w:bCs/>
                <w:i w:val="false"/>
                <w:iCs w:val="false"/>
                <w:color w:val="0F172A"/>
                <w:sz w:val="18"/>
                <w:szCs w:val="18"/>
              </w:rPr>
              <w:t xml:space="preserve">Monitoring</w:t>
            </w:r>
          </w:p>
        </w:tc>
        <w:tc>
          <w:tcPr>
            <w:tcW w:type="dxa" w:w="7360"/>
            <w:tcBorders>
              <w:top w:val="single" w:color="CBD5E1" w:sz="1"/>
              <w:left w:val="single" w:color="CBD5E1" w:sz="1"/>
              <w:bottom w:val="single" w:color="CBD5E1" w:sz="1"/>
              <w:right w:val="single" w:color="CBD5E1" w:sz="1"/>
            </w:tcBorders>
            <w:shd w:fill="F8FAFC" w:val="clear"/>
            <w:tcMar>
              <w:top w:type="dxa" w:w="70"/>
              <w:left w:type="dxa" w:w="140"/>
              <w:bottom w:type="dxa" w:w="70"/>
              <w:right w:type="dxa" w:w="140"/>
            </w:tcMar>
          </w:tcPr>
          <w:p>
            <w:r>
              <w:rPr>
                <w:rFonts w:ascii="Arial" w:cs="Arial" w:eastAsia="Arial" w:hAnsi="Arial"/>
                <w:b w:val="false"/>
                <w:bCs w:val="false"/>
                <w:i w:val="false"/>
                <w:iCs w:val="false"/>
                <w:color w:val="475569"/>
                <w:sz w:val="18"/>
                <w:szCs w:val="18"/>
              </w:rPr>
              <w:t xml:space="preserve">GlitchTip (self-hosted) — full error tracking and performance monitoring</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r>
              <w:rPr>
                <w:rFonts w:ascii="Arial" w:cs="Arial" w:eastAsia="Arial" w:hAnsi="Arial"/>
                <w:b/>
                <w:bCs/>
                <w:i w:val="false"/>
                <w:iCs w:val="false"/>
                <w:color w:val="0F172A"/>
                <w:sz w:val="18"/>
                <w:szCs w:val="18"/>
              </w:rPr>
              <w:t xml:space="preserve">Feature Flags</w:t>
            </w:r>
          </w:p>
        </w:tc>
        <w:tc>
          <w:tcPr>
            <w:tcW w:type="dxa" w:w="73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475569"/>
                <w:sz w:val="18"/>
                <w:szCs w:val="18"/>
              </w:rPr>
              <w:t xml:space="preserve">Flagsmith (self-hosted) — safe feature rollouts and A/B testing</w:t>
            </w:r>
          </w:p>
        </w:tc>
      </w:tr>
      <w:tr>
        <w:tc>
          <w:tcPr>
            <w:tcW w:type="dxa" w:w="2000"/>
            <w:tcBorders>
              <w:top w:val="single" w:color="CBD5E1" w:sz="1"/>
              <w:left w:val="single" w:color="CBD5E1" w:sz="1"/>
              <w:bottom w:val="single" w:color="CBD5E1" w:sz="1"/>
              <w:right w:val="single" w:color="CBD5E1" w:sz="1"/>
            </w:tcBorders>
            <w:shd w:fill="F8FAFC" w:val="clear"/>
            <w:tcMar>
              <w:top w:type="dxa" w:w="70"/>
              <w:left w:type="dxa" w:w="140"/>
              <w:bottom w:type="dxa" w:w="70"/>
              <w:right w:type="dxa" w:w="140"/>
            </w:tcMar>
          </w:tcPr>
          <w:p>
            <w:r>
              <w:rPr>
                <w:rFonts w:ascii="Arial" w:cs="Arial" w:eastAsia="Arial" w:hAnsi="Arial"/>
                <w:b/>
                <w:bCs/>
                <w:i w:val="false"/>
                <w:iCs w:val="false"/>
                <w:color w:val="0F172A"/>
                <w:sz w:val="18"/>
                <w:szCs w:val="18"/>
              </w:rPr>
              <w:t xml:space="preserve">Monorepo</w:t>
            </w:r>
          </w:p>
        </w:tc>
        <w:tc>
          <w:tcPr>
            <w:tcW w:type="dxa" w:w="7360"/>
            <w:tcBorders>
              <w:top w:val="single" w:color="CBD5E1" w:sz="1"/>
              <w:left w:val="single" w:color="CBD5E1" w:sz="1"/>
              <w:bottom w:val="single" w:color="CBD5E1" w:sz="1"/>
              <w:right w:val="single" w:color="CBD5E1" w:sz="1"/>
            </w:tcBorders>
            <w:shd w:fill="F8FAFC" w:val="clear"/>
            <w:tcMar>
              <w:top w:type="dxa" w:w="70"/>
              <w:left w:type="dxa" w:w="140"/>
              <w:bottom w:type="dxa" w:w="70"/>
              <w:right w:type="dxa" w:w="140"/>
            </w:tcMar>
          </w:tcPr>
          <w:p>
            <w:r>
              <w:rPr>
                <w:rFonts w:ascii="Arial" w:cs="Arial" w:eastAsia="Arial" w:hAnsi="Arial"/>
                <w:b w:val="false"/>
                <w:bCs w:val="false"/>
                <w:i w:val="false"/>
                <w:iCs w:val="false"/>
                <w:color w:val="475569"/>
                <w:sz w:val="18"/>
                <w:szCs w:val="18"/>
              </w:rPr>
              <w:t xml:space="preserve">Turborepo — web, mobile, API and shared packages in one repository</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r>
              <w:rPr>
                <w:rFonts w:ascii="Arial" w:cs="Arial" w:eastAsia="Arial" w:hAnsi="Arial"/>
                <w:b/>
                <w:bCs/>
                <w:i w:val="false"/>
                <w:iCs w:val="false"/>
                <w:color w:val="0F172A"/>
                <w:sz w:val="18"/>
                <w:szCs w:val="18"/>
              </w:rPr>
              <w:t xml:space="preserve">Internationalisation</w:t>
            </w:r>
          </w:p>
        </w:tc>
        <w:tc>
          <w:tcPr>
            <w:tcW w:type="dxa" w:w="73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475569"/>
                <w:sz w:val="18"/>
                <w:szCs w:val="18"/>
              </w:rPr>
              <w:t xml:space="preserve">i18next — multi-language, multi-currency, multi-timezone from day one</w:t>
            </w:r>
          </w:p>
        </w:tc>
      </w:tr>
    </w:tbl>
    <w:p>
      <w:pPr>
        <w:spacing w:after="120" w:before="0"/>
      </w:pPr>
      <w:r>
        <w:t xml:space="preserve"/>
      </w:r>
    </w:p>
    <w:p>
      <w:r>
        <w:br w:type="page"/>
      </w:r>
    </w:p>
    <w:p>
      <w:pPr>
        <w:spacing w:after="200" w:before="0"/>
      </w:pPr>
      <w:r>
        <w:t xml:space="preserve"/>
      </w:r>
    </w:p>
    <w:p>
      <w:pPr>
        <w:spacing w:after="60" w:before="0"/>
      </w:pPr>
      <w:r>
        <w:rPr>
          <w:rFonts w:ascii="Arial" w:cs="Arial" w:eastAsia="Arial" w:hAnsi="Arial"/>
          <w:b/>
          <w:bCs/>
          <w:i w:val="false"/>
          <w:iCs w:val="false"/>
          <w:color w:val="0F172A"/>
          <w:sz w:val="36"/>
          <w:szCs w:val="36"/>
        </w:rPr>
        <w:t xml:space="preserve">Product Roadmap</w:t>
      </w:r>
    </w:p>
    <w:p>
      <w:pPr>
        <w:pBdr>
          <w:bottom w:val="single" w:color="0F172A" w:sz="8" w:space="1"/>
        </w:pBdr>
        <w:spacing w:after="0" w:before="0"/>
      </w:pPr>
      <w:r>
        <w:t xml:space="preserve"/>
      </w:r>
    </w:p>
    <w:p>
      <w:pPr>
        <w:spacing w:after="80" w:before="0"/>
      </w:pPr>
      <w:r>
        <w:t xml:space="preserve"/>
      </w:r>
    </w:p>
    <w:p>
      <w:pPr>
        <w:spacing w:after="120" w:before="0"/>
      </w:pPr>
      <w:r>
        <w:rPr>
          <w:rFonts w:ascii="Arial" w:cs="Arial" w:eastAsia="Arial" w:hAnsi="Arial"/>
          <w:b w:val="false"/>
          <w:bCs w:val="false"/>
          <w:i w:val="false"/>
          <w:iCs w:val="false"/>
          <w:color w:val="475569"/>
          <w:sz w:val="20"/>
          <w:szCs w:val="20"/>
        </w:rPr>
        <w:t xml:space="preserve">OccasionPro is being built in deliberate phases — each delivering a complete, shippable product milestone that grows progressively more powerful.</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1200"/>
        <w:gridCol w:w="5060"/>
      </w:tblGrid>
      <w:tr>
        <w:tc>
          <w:tcPr>
            <w:tcW w:type="dxa" w:w="1200"/>
            <w:tcBorders>
              <w:top w:val="single" w:color="1D4ED8" w:sz="1"/>
              <w:left w:val="single" w:color="1D4ED8" w:sz="1"/>
              <w:bottom w:val="single" w:color="1D4ED8" w:sz="1"/>
              <w:right w:val="single" w:color="1D4ED8" w:sz="1"/>
            </w:tcBorders>
            <w:shd w:fill="1D4ED8"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8"/>
                <w:szCs w:val="18"/>
              </w:rPr>
              <w:t xml:space="preserve">Phase 1</w:t>
            </w:r>
          </w:p>
        </w:tc>
        <w:tc>
          <w:tcPr>
            <w:tcW w:type="dxa" w:w="19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bCs/>
                <w:i w:val="false"/>
                <w:iCs w:val="false"/>
                <w:color w:val="0F172A"/>
                <w:sz w:val="18"/>
                <w:szCs w:val="18"/>
              </w:rPr>
              <w:t xml:space="preserve">Foundation</w:t>
            </w:r>
          </w:p>
        </w:tc>
        <w:tc>
          <w:tcPr>
            <w:tcW w:type="dxa" w:w="1200"/>
            <w:tcBorders>
              <w:top w:val="single" w:color="CBD5E1" w:sz="1"/>
              <w:left w:val="single" w:color="CBD5E1" w:sz="1"/>
              <w:bottom w:val="single" w:color="CBD5E1" w:sz="1"/>
              <w:right w:val="single" w:color="CBD5E1" w:sz="1"/>
            </w:tcBorders>
            <w:shd w:fill="F8FAFC" w:val="clear"/>
            <w:tcMar>
              <w:top w:type="dxa" w:w="100"/>
              <w:left w:type="dxa" w:w="100"/>
              <w:bottom w:type="dxa" w:w="100"/>
              <w:right w:type="dxa" w:w="100"/>
            </w:tcMar>
          </w:tcPr>
          <w:p>
            <w:pPr>
              <w:jc w:val="center"/>
            </w:pPr>
            <w:r>
              <w:rPr>
                <w:rFonts w:ascii="Arial" w:cs="Arial" w:eastAsia="Arial" w:hAnsi="Arial"/>
                <w:b w:val="false"/>
                <w:bCs w:val="false"/>
                <w:i/>
                <w:iCs/>
                <w:color w:val="64748B"/>
                <w:sz w:val="16"/>
                <w:szCs w:val="16"/>
              </w:rPr>
              <w:t xml:space="preserve">Months 1–2</w:t>
            </w:r>
          </w:p>
        </w:tc>
        <w:tc>
          <w:tcPr>
            <w:tcW w:type="dxa" w:w="50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475569"/>
                <w:sz w:val="18"/>
                <w:szCs w:val="18"/>
              </w:rPr>
              <w:t xml:space="preserve">Monorepo setup, Supabase schema design, multi-tenant architecture, Supabase Auth (all methods), Cloudflare infrastructure, CI/CD pipeline.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1200"/>
        <w:gridCol w:w="5060"/>
      </w:tblGrid>
      <w:tr>
        <w:tc>
          <w:tcPr>
            <w:tcW w:type="dxa" w:w="1200"/>
            <w:tcBorders>
              <w:top w:val="single" w:color="CBD5E1" w:sz="1"/>
              <w:left w:val="single" w:color="CBD5E1" w:sz="1"/>
              <w:bottom w:val="single" w:color="CBD5E1" w:sz="1"/>
              <w:right w:val="single" w:color="CBD5E1" w:sz="1"/>
            </w:tcBorders>
            <w:shd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8"/>
                <w:szCs w:val="18"/>
              </w:rPr>
              <w:t xml:space="preserve">Phase 2</w:t>
            </w:r>
          </w:p>
        </w:tc>
        <w:tc>
          <w:tcPr>
            <w:tcW w:type="dxa" w:w="19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bCs/>
                <w:i w:val="false"/>
                <w:iCs w:val="false"/>
                <w:color w:val="0F172A"/>
                <w:sz w:val="18"/>
                <w:szCs w:val="18"/>
              </w:rPr>
              <w:t xml:space="preserve">Company Admin Portal</w:t>
            </w:r>
          </w:p>
        </w:tc>
        <w:tc>
          <w:tcPr>
            <w:tcW w:type="dxa" w:w="1200"/>
            <w:tcBorders>
              <w:top w:val="single" w:color="CBD5E1" w:sz="1"/>
              <w:left w:val="single" w:color="CBD5E1" w:sz="1"/>
              <w:bottom w:val="single" w:color="CBD5E1" w:sz="1"/>
              <w:right w:val="single" w:color="CBD5E1" w:sz="1"/>
            </w:tcBorders>
            <w:shd w:fill="F8FAFC" w:val="clear"/>
            <w:tcMar>
              <w:top w:type="dxa" w:w="100"/>
              <w:left w:type="dxa" w:w="100"/>
              <w:bottom w:type="dxa" w:w="100"/>
              <w:right w:type="dxa" w:w="100"/>
            </w:tcMar>
          </w:tcPr>
          <w:p>
            <w:pPr>
              <w:jc w:val="center"/>
            </w:pPr>
            <w:r>
              <w:rPr>
                <w:rFonts w:ascii="Arial" w:cs="Arial" w:eastAsia="Arial" w:hAnsi="Arial"/>
                <w:b w:val="false"/>
                <w:bCs w:val="false"/>
                <w:i/>
                <w:iCs/>
                <w:color w:val="64748B"/>
                <w:sz w:val="16"/>
                <w:szCs w:val="16"/>
              </w:rPr>
              <w:t xml:space="preserve">Months 2–3</w:t>
            </w:r>
          </w:p>
        </w:tc>
        <w:tc>
          <w:tcPr>
            <w:tcW w:type="dxa" w:w="50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475569"/>
                <w:sz w:val="18"/>
                <w:szCs w:val="18"/>
              </w:rPr>
              <w:t xml:space="preserve">AI Command Center dashboard, team management, event portfolio overview, company configuration, financial overview, subscription billing via Razorpay.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1200"/>
        <w:gridCol w:w="5060"/>
      </w:tblGrid>
      <w:tr>
        <w:tc>
          <w:tcPr>
            <w:tcW w:type="dxa" w:w="1200"/>
            <w:tcBorders>
              <w:top w:val="single" w:color="06B6D4" w:sz="1"/>
              <w:left w:val="single" w:color="06B6D4" w:sz="1"/>
              <w:bottom w:val="single" w:color="06B6D4" w:sz="1"/>
              <w:right w:val="single" w:color="06B6D4" w:sz="1"/>
            </w:tcBorders>
            <w:shd w:fill="06B6D4"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8"/>
                <w:szCs w:val="18"/>
              </w:rPr>
              <w:t xml:space="preserve">Phase 3</w:t>
            </w:r>
          </w:p>
        </w:tc>
        <w:tc>
          <w:tcPr>
            <w:tcW w:type="dxa" w:w="19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bCs/>
                <w:i w:val="false"/>
                <w:iCs w:val="false"/>
                <w:color w:val="0F172A"/>
                <w:sz w:val="18"/>
                <w:szCs w:val="18"/>
              </w:rPr>
              <w:t xml:space="preserve">Event Manager Portal</w:t>
            </w:r>
          </w:p>
        </w:tc>
        <w:tc>
          <w:tcPr>
            <w:tcW w:type="dxa" w:w="1200"/>
            <w:tcBorders>
              <w:top w:val="single" w:color="CBD5E1" w:sz="1"/>
              <w:left w:val="single" w:color="CBD5E1" w:sz="1"/>
              <w:bottom w:val="single" w:color="CBD5E1" w:sz="1"/>
              <w:right w:val="single" w:color="CBD5E1" w:sz="1"/>
            </w:tcBorders>
            <w:shd w:fill="F8FAFC" w:val="clear"/>
            <w:tcMar>
              <w:top w:type="dxa" w:w="100"/>
              <w:left w:type="dxa" w:w="100"/>
              <w:bottom w:type="dxa" w:w="100"/>
              <w:right w:type="dxa" w:w="100"/>
            </w:tcMar>
          </w:tcPr>
          <w:p>
            <w:pPr>
              <w:jc w:val="center"/>
            </w:pPr>
            <w:r>
              <w:rPr>
                <w:rFonts w:ascii="Arial" w:cs="Arial" w:eastAsia="Arial" w:hAnsi="Arial"/>
                <w:b w:val="false"/>
                <w:bCs w:val="false"/>
                <w:i/>
                <w:iCs/>
                <w:color w:val="64748B"/>
                <w:sz w:val="16"/>
                <w:szCs w:val="16"/>
              </w:rPr>
              <w:t xml:space="preserve">Months 3–4</w:t>
            </w:r>
          </w:p>
        </w:tc>
        <w:tc>
          <w:tcPr>
            <w:tcW w:type="dxa" w:w="50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475569"/>
                <w:sz w:val="18"/>
                <w:szCs w:val="18"/>
              </w:rPr>
              <w:t xml:space="preserve">Event creation, timeline builder, runsheet, budget management, live command center via Cloudflare Durable Objects, AI risk scoring.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1200"/>
        <w:gridCol w:w="5060"/>
      </w:tblGrid>
      <w:tr>
        <w:tc>
          <w:tcPr>
            <w:tcW w:type="dxa" w:w="1200"/>
            <w:tcBorders>
              <w:top w:val="single" w:color="CBD5E1" w:sz="1"/>
              <w:left w:val="single" w:color="CBD5E1" w:sz="1"/>
              <w:bottom w:val="single" w:color="CBD5E1" w:sz="1"/>
              <w:right w:val="single" w:color="CBD5E1" w:sz="1"/>
            </w:tcBorders>
            <w:shd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8"/>
                <w:szCs w:val="18"/>
              </w:rPr>
              <w:t xml:space="preserve">Phase 4</w:t>
            </w:r>
          </w:p>
        </w:tc>
        <w:tc>
          <w:tcPr>
            <w:tcW w:type="dxa" w:w="19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bCs/>
                <w:i w:val="false"/>
                <w:iCs w:val="false"/>
                <w:color w:val="0F172A"/>
                <w:sz w:val="18"/>
                <w:szCs w:val="18"/>
              </w:rPr>
              <w:t xml:space="preserve">Team Member Portal</w:t>
            </w:r>
          </w:p>
        </w:tc>
        <w:tc>
          <w:tcPr>
            <w:tcW w:type="dxa" w:w="1200"/>
            <w:tcBorders>
              <w:top w:val="single" w:color="CBD5E1" w:sz="1"/>
              <w:left w:val="single" w:color="CBD5E1" w:sz="1"/>
              <w:bottom w:val="single" w:color="CBD5E1" w:sz="1"/>
              <w:right w:val="single" w:color="CBD5E1" w:sz="1"/>
            </w:tcBorders>
            <w:shd w:fill="F8FAFC" w:val="clear"/>
            <w:tcMar>
              <w:top w:type="dxa" w:w="100"/>
              <w:left w:type="dxa" w:w="100"/>
              <w:bottom w:type="dxa" w:w="100"/>
              <w:right w:type="dxa" w:w="100"/>
            </w:tcMar>
          </w:tcPr>
          <w:p>
            <w:pPr>
              <w:jc w:val="center"/>
            </w:pPr>
            <w:r>
              <w:rPr>
                <w:rFonts w:ascii="Arial" w:cs="Arial" w:eastAsia="Arial" w:hAnsi="Arial"/>
                <w:b w:val="false"/>
                <w:bCs w:val="false"/>
                <w:i/>
                <w:iCs/>
                <w:color w:val="64748B"/>
                <w:sz w:val="16"/>
                <w:szCs w:val="16"/>
              </w:rPr>
              <w:t xml:space="preserve">Months 4–6</w:t>
            </w:r>
          </w:p>
        </w:tc>
        <w:tc>
          <w:tcPr>
            <w:tcW w:type="dxa" w:w="50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475569"/>
                <w:sz w:val="18"/>
                <w:szCs w:val="18"/>
              </w:rPr>
              <w:t xml:space="preserve">All 12 operational modules — CRM, Finance, Operations, Production, Hospitality, Artist, Venue, Inventory, Guest, Marketing, Support, Mobile.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1200"/>
        <w:gridCol w:w="5060"/>
      </w:tblGrid>
      <w:tr>
        <w:tc>
          <w:tcPr>
            <w:tcW w:type="dxa" w:w="1200"/>
            <w:tcBorders>
              <w:top w:val="single" w:color="15803D" w:sz="1"/>
              <w:left w:val="single" w:color="15803D" w:sz="1"/>
              <w:bottom w:val="single" w:color="15803D" w:sz="1"/>
              <w:right w:val="single" w:color="15803D" w:sz="1"/>
            </w:tcBorders>
            <w:shd w:fill="15803D"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8"/>
                <w:szCs w:val="18"/>
              </w:rPr>
              <w:t xml:space="preserve">Phase 5</w:t>
            </w:r>
          </w:p>
        </w:tc>
        <w:tc>
          <w:tcPr>
            <w:tcW w:type="dxa" w:w="19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bCs/>
                <w:i w:val="false"/>
                <w:iCs w:val="false"/>
                <w:color w:val="0F172A"/>
                <w:sz w:val="18"/>
                <w:szCs w:val="18"/>
              </w:rPr>
              <w:t xml:space="preserve">Client &amp; Vendor Portals</w:t>
            </w:r>
          </w:p>
        </w:tc>
        <w:tc>
          <w:tcPr>
            <w:tcW w:type="dxa" w:w="1200"/>
            <w:tcBorders>
              <w:top w:val="single" w:color="CBD5E1" w:sz="1"/>
              <w:left w:val="single" w:color="CBD5E1" w:sz="1"/>
              <w:bottom w:val="single" w:color="CBD5E1" w:sz="1"/>
              <w:right w:val="single" w:color="CBD5E1" w:sz="1"/>
            </w:tcBorders>
            <w:shd w:fill="F8FAFC" w:val="clear"/>
            <w:tcMar>
              <w:top w:type="dxa" w:w="100"/>
              <w:left w:type="dxa" w:w="100"/>
              <w:bottom w:type="dxa" w:w="100"/>
              <w:right w:type="dxa" w:w="100"/>
            </w:tcMar>
          </w:tcPr>
          <w:p>
            <w:pPr>
              <w:jc w:val="center"/>
            </w:pPr>
            <w:r>
              <w:rPr>
                <w:rFonts w:ascii="Arial" w:cs="Arial" w:eastAsia="Arial" w:hAnsi="Arial"/>
                <w:b w:val="false"/>
                <w:bCs w:val="false"/>
                <w:i/>
                <w:iCs/>
                <w:color w:val="64748B"/>
                <w:sz w:val="16"/>
                <w:szCs w:val="16"/>
              </w:rPr>
              <w:t xml:space="preserve">Months 6–7</w:t>
            </w:r>
          </w:p>
        </w:tc>
        <w:tc>
          <w:tcPr>
            <w:tcW w:type="dxa" w:w="50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475569"/>
                <w:sz w:val="18"/>
                <w:szCs w:val="18"/>
              </w:rPr>
              <w:t xml:space="preserve">Client approval workflows, Razorpay payment integration, vendor job management, Razorpay Route payouts, Artist Mode.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1200"/>
        <w:gridCol w:w="5060"/>
      </w:tblGrid>
      <w:tr>
        <w:tc>
          <w:tcPr>
            <w:tcW w:type="dxa" w:w="1200"/>
            <w:tcBorders>
              <w:top w:val="single" w:color="D97706" w:sz="1"/>
              <w:left w:val="single" w:color="D97706" w:sz="1"/>
              <w:bottom w:val="single" w:color="D97706" w:sz="1"/>
              <w:right w:val="single" w:color="D97706" w:sz="1"/>
            </w:tcBorders>
            <w:shd w:fill="D97706"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8"/>
                <w:szCs w:val="18"/>
              </w:rPr>
              <w:t xml:space="preserve">Phase 6</w:t>
            </w:r>
          </w:p>
        </w:tc>
        <w:tc>
          <w:tcPr>
            <w:tcW w:type="dxa" w:w="19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bCs/>
                <w:i w:val="false"/>
                <w:iCs w:val="false"/>
                <w:color w:val="0F172A"/>
                <w:sz w:val="18"/>
                <w:szCs w:val="18"/>
              </w:rPr>
              <w:t xml:space="preserve">Guest Portal</w:t>
            </w:r>
          </w:p>
        </w:tc>
        <w:tc>
          <w:tcPr>
            <w:tcW w:type="dxa" w:w="1200"/>
            <w:tcBorders>
              <w:top w:val="single" w:color="CBD5E1" w:sz="1"/>
              <w:left w:val="single" w:color="CBD5E1" w:sz="1"/>
              <w:bottom w:val="single" w:color="CBD5E1" w:sz="1"/>
              <w:right w:val="single" w:color="CBD5E1" w:sz="1"/>
            </w:tcBorders>
            <w:shd w:fill="F8FAFC" w:val="clear"/>
            <w:tcMar>
              <w:top w:type="dxa" w:w="100"/>
              <w:left w:type="dxa" w:w="100"/>
              <w:bottom w:type="dxa" w:w="100"/>
              <w:right w:type="dxa" w:w="100"/>
            </w:tcMar>
          </w:tcPr>
          <w:p>
            <w:pPr>
              <w:jc w:val="center"/>
            </w:pPr>
            <w:r>
              <w:rPr>
                <w:rFonts w:ascii="Arial" w:cs="Arial" w:eastAsia="Arial" w:hAnsi="Arial"/>
                <w:b w:val="false"/>
                <w:bCs w:val="false"/>
                <w:i/>
                <w:iCs/>
                <w:color w:val="64748B"/>
                <w:sz w:val="16"/>
                <w:szCs w:val="16"/>
              </w:rPr>
              <w:t xml:space="preserve">Month 7–8</w:t>
            </w:r>
          </w:p>
        </w:tc>
        <w:tc>
          <w:tcPr>
            <w:tcW w:type="dxa" w:w="50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475569"/>
                <w:sz w:val="18"/>
                <w:szCs w:val="18"/>
              </w:rPr>
              <w:t xml:space="preserve">Magic Link RSVP, QR check-in passes, live event experience, Apple/Google Wallet integration, post-event gallery.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1200"/>
        <w:gridCol w:w="5060"/>
      </w:tblGrid>
      <w:tr>
        <w:tc>
          <w:tcPr>
            <w:tcW w:type="dxa" w:w="1200"/>
            <w:tcBorders>
              <w:top w:val="single" w:color="475569" w:sz="1"/>
              <w:left w:val="single" w:color="475569" w:sz="1"/>
              <w:bottom w:val="single" w:color="475569" w:sz="1"/>
              <w:right w:val="single" w:color="475569" w:sz="1"/>
            </w:tcBorders>
            <w:shd w:fill="475569"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8"/>
                <w:szCs w:val="18"/>
              </w:rPr>
              <w:t xml:space="preserve">Phase 7</w:t>
            </w:r>
          </w:p>
        </w:tc>
        <w:tc>
          <w:tcPr>
            <w:tcW w:type="dxa" w:w="19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bCs/>
                <w:i w:val="false"/>
                <w:iCs w:val="false"/>
                <w:color w:val="0F172A"/>
                <w:sz w:val="18"/>
                <w:szCs w:val="18"/>
              </w:rPr>
              <w:t xml:space="preserve">Native Mobile Apps</w:t>
            </w:r>
          </w:p>
        </w:tc>
        <w:tc>
          <w:tcPr>
            <w:tcW w:type="dxa" w:w="1200"/>
            <w:tcBorders>
              <w:top w:val="single" w:color="CBD5E1" w:sz="1"/>
              <w:left w:val="single" w:color="CBD5E1" w:sz="1"/>
              <w:bottom w:val="single" w:color="CBD5E1" w:sz="1"/>
              <w:right w:val="single" w:color="CBD5E1" w:sz="1"/>
            </w:tcBorders>
            <w:shd w:fill="F8FAFC" w:val="clear"/>
            <w:tcMar>
              <w:top w:type="dxa" w:w="100"/>
              <w:left w:type="dxa" w:w="100"/>
              <w:bottom w:type="dxa" w:w="100"/>
              <w:right w:type="dxa" w:w="100"/>
            </w:tcMar>
          </w:tcPr>
          <w:p>
            <w:pPr>
              <w:jc w:val="center"/>
            </w:pPr>
            <w:r>
              <w:rPr>
                <w:rFonts w:ascii="Arial" w:cs="Arial" w:eastAsia="Arial" w:hAnsi="Arial"/>
                <w:b w:val="false"/>
                <w:bCs w:val="false"/>
                <w:i/>
                <w:iCs/>
                <w:color w:val="64748B"/>
                <w:sz w:val="16"/>
                <w:szCs w:val="16"/>
              </w:rPr>
              <w:t xml:space="preserve">Months 8–10</w:t>
            </w:r>
          </w:p>
        </w:tc>
        <w:tc>
          <w:tcPr>
            <w:tcW w:type="dxa" w:w="50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475569"/>
                <w:sz w:val="18"/>
                <w:szCs w:val="18"/>
              </w:rPr>
              <w:t xml:space="preserve">iOS and Android apps via React Native + Expo — full feature parity with web for Team Member and Guest portals.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1200"/>
        <w:gridCol w:w="5060"/>
      </w:tblGrid>
      <w:tr>
        <w:tc>
          <w:tcPr>
            <w:tcW w:type="dxa" w:w="1200"/>
            <w:tcBorders>
              <w:top w:val="single" w:color="0F172A" w:sz="1"/>
              <w:left w:val="single" w:color="0F172A" w:sz="1"/>
              <w:bottom w:val="single" w:color="0F172A" w:sz="1"/>
              <w:right w:val="single" w:color="0F172A" w:sz="1"/>
            </w:tcBorders>
            <w:shd w:fill="0F172A"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8"/>
                <w:szCs w:val="18"/>
              </w:rPr>
              <w:t xml:space="preserve">Phase 8</w:t>
            </w:r>
          </w:p>
        </w:tc>
        <w:tc>
          <w:tcPr>
            <w:tcW w:type="dxa" w:w="19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bCs/>
                <w:i w:val="false"/>
                <w:iCs w:val="false"/>
                <w:color w:val="0F172A"/>
                <w:sz w:val="18"/>
                <w:szCs w:val="18"/>
              </w:rPr>
              <w:t xml:space="preserve">Offline Sync</w:t>
            </w:r>
          </w:p>
        </w:tc>
        <w:tc>
          <w:tcPr>
            <w:tcW w:type="dxa" w:w="1200"/>
            <w:tcBorders>
              <w:top w:val="single" w:color="CBD5E1" w:sz="1"/>
              <w:left w:val="single" w:color="CBD5E1" w:sz="1"/>
              <w:bottom w:val="single" w:color="CBD5E1" w:sz="1"/>
              <w:right w:val="single" w:color="CBD5E1" w:sz="1"/>
            </w:tcBorders>
            <w:shd w:fill="F8FAFC" w:val="clear"/>
            <w:tcMar>
              <w:top w:type="dxa" w:w="100"/>
              <w:left w:type="dxa" w:w="100"/>
              <w:bottom w:type="dxa" w:w="100"/>
              <w:right w:type="dxa" w:w="100"/>
            </w:tcMar>
          </w:tcPr>
          <w:p>
            <w:pPr>
              <w:jc w:val="center"/>
            </w:pPr>
            <w:r>
              <w:rPr>
                <w:rFonts w:ascii="Arial" w:cs="Arial" w:eastAsia="Arial" w:hAnsi="Arial"/>
                <w:b w:val="false"/>
                <w:bCs w:val="false"/>
                <w:i/>
                <w:iCs/>
                <w:color w:val="64748B"/>
                <w:sz w:val="16"/>
                <w:szCs w:val="16"/>
              </w:rPr>
              <w:t xml:space="preserve">Month 10–11</w:t>
            </w:r>
          </w:p>
        </w:tc>
        <w:tc>
          <w:tcPr>
            <w:tcW w:type="dxa" w:w="50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475569"/>
                <w:sz w:val="18"/>
                <w:szCs w:val="18"/>
              </w:rPr>
              <w:t xml:space="preserve">ElectricSQL integration — full offline capability for field operations. WatermelonDB on mobile. Conflict resolution.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1200"/>
        <w:gridCol w:w="5060"/>
      </w:tblGrid>
      <w:tr>
        <w:tc>
          <w:tcPr>
            <w:tcW w:type="dxa" w:w="1200"/>
            <w:tcBorders>
              <w:top w:val="single" w:color="1D4ED8" w:sz="1"/>
              <w:left w:val="single" w:color="1D4ED8" w:sz="1"/>
              <w:bottom w:val="single" w:color="1D4ED8" w:sz="1"/>
              <w:right w:val="single" w:color="1D4ED8" w:sz="1"/>
            </w:tcBorders>
            <w:shd w:fill="1D4ED8"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8"/>
                <w:szCs w:val="18"/>
              </w:rPr>
              <w:t xml:space="preserve">Phase 9</w:t>
            </w:r>
          </w:p>
        </w:tc>
        <w:tc>
          <w:tcPr>
            <w:tcW w:type="dxa" w:w="19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bCs/>
                <w:i w:val="false"/>
                <w:iCs w:val="false"/>
                <w:color w:val="0F172A"/>
                <w:sz w:val="18"/>
                <w:szCs w:val="18"/>
              </w:rPr>
              <w:t xml:space="preserve">White-Label &amp; Scale</w:t>
            </w:r>
          </w:p>
        </w:tc>
        <w:tc>
          <w:tcPr>
            <w:tcW w:type="dxa" w:w="1200"/>
            <w:tcBorders>
              <w:top w:val="single" w:color="CBD5E1" w:sz="1"/>
              <w:left w:val="single" w:color="CBD5E1" w:sz="1"/>
              <w:bottom w:val="single" w:color="CBD5E1" w:sz="1"/>
              <w:right w:val="single" w:color="CBD5E1" w:sz="1"/>
            </w:tcBorders>
            <w:shd w:fill="F8FAFC" w:val="clear"/>
            <w:tcMar>
              <w:top w:type="dxa" w:w="100"/>
              <w:left w:type="dxa" w:w="100"/>
              <w:bottom w:type="dxa" w:w="100"/>
              <w:right w:type="dxa" w:w="100"/>
            </w:tcMar>
          </w:tcPr>
          <w:p>
            <w:pPr>
              <w:jc w:val="center"/>
            </w:pPr>
            <w:r>
              <w:rPr>
                <w:rFonts w:ascii="Arial" w:cs="Arial" w:eastAsia="Arial" w:hAnsi="Arial"/>
                <w:b w:val="false"/>
                <w:bCs w:val="false"/>
                <w:i/>
                <w:iCs/>
                <w:color w:val="64748B"/>
                <w:sz w:val="16"/>
                <w:szCs w:val="16"/>
              </w:rPr>
              <w:t xml:space="preserve">Month 11–12</w:t>
            </w:r>
          </w:p>
        </w:tc>
        <w:tc>
          <w:tcPr>
            <w:tcW w:type="dxa" w:w="50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475569"/>
                <w:sz w:val="18"/>
                <w:szCs w:val="18"/>
              </w:rPr>
              <w:t xml:space="preserve">Custom domain routing via Cloudflare Workers, branded mobile app builds, Enterprise SSO, advanced AI analytics.</w:t>
            </w:r>
          </w:p>
        </w:tc>
      </w:tr>
    </w:tbl>
    <w:p>
      <w:pPr>
        <w:spacing w:after="120" w:before="0"/>
      </w:pPr>
      <w:r>
        <w:t xml:space="preserve"/>
      </w:r>
    </w:p>
    <w:p>
      <w:r>
        <w:br w:type="page"/>
      </w:r>
    </w:p>
    <w:p>
      <w:pPr>
        <w:spacing w:after="200" w:before="0"/>
      </w:pPr>
      <w:r>
        <w:t xml:space="preserve"/>
      </w:r>
    </w:p>
    <w:p>
      <w:pPr>
        <w:spacing w:after="60" w:before="0"/>
      </w:pPr>
      <w:r>
        <w:rPr>
          <w:rFonts w:ascii="Arial" w:cs="Arial" w:eastAsia="Arial" w:hAnsi="Arial"/>
          <w:b/>
          <w:bCs/>
          <w:i w:val="false"/>
          <w:iCs w:val="false"/>
          <w:color w:val="0F172A"/>
          <w:sz w:val="36"/>
          <w:szCs w:val="36"/>
        </w:rPr>
        <w:t xml:space="preserve">Vision</w:t>
      </w:r>
    </w:p>
    <w:p>
      <w:pPr>
        <w:pBdr>
          <w:bottom w:val="single" w:color="0F172A" w:sz="8" w:space="1"/>
        </w:pBdr>
        <w:spacing w:after="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320"/>
              <w:left w:type="dxa" w:w="400"/>
              <w:bottom w:type="dxa" w:w="320"/>
              <w:right w:type="dxa" w:w="400"/>
            </w:tcMar>
          </w:tcPr>
          <w:p>
            <w:pPr>
              <w:spacing w:after="120" w:before="0"/>
              <w:jc w:val="center"/>
            </w:pPr>
            <w:r>
              <w:rPr>
                <w:rFonts w:ascii="Arial" w:cs="Arial" w:eastAsia="Arial" w:hAnsi="Arial"/>
                <w:b w:val="false"/>
                <w:bCs w:val="false"/>
                <w:i w:val="false"/>
                <w:iCs w:val="false"/>
                <w:color w:val="FFFFFF"/>
                <w:sz w:val="26"/>
                <w:szCs w:val="26"/>
              </w:rPr>
              <w:t xml:space="preserve">"To become the operating system that powers every</w:t>
            </w:r>
          </w:p>
          <w:p>
            <w:pPr>
              <w:spacing w:after="120" w:before="0"/>
              <w:jc w:val="center"/>
            </w:pPr>
            <w:r>
              <w:rPr>
                <w:rFonts w:ascii="Arial" w:cs="Arial" w:eastAsia="Arial" w:hAnsi="Arial"/>
                <w:b/>
                <w:bCs/>
                <w:i w:val="false"/>
                <w:iCs w:val="false"/>
                <w:color w:val="06B6D4"/>
                <w:sz w:val="26"/>
                <w:szCs w:val="26"/>
              </w:rPr>
              <w:t xml:space="preserve">significant event on the planet."</w:t>
            </w:r>
          </w:p>
          <w:p>
            <w:pPr>
              <w:spacing w:after="0" w:before="0"/>
              <w:jc w:val="center"/>
            </w:pPr>
            <w:r>
              <w:rPr>
                <w:rFonts w:ascii="Arial" w:cs="Arial" w:eastAsia="Arial" w:hAnsi="Arial"/>
                <w:b w:val="false"/>
                <w:bCs w:val="false"/>
                <w:i/>
                <w:iCs/>
                <w:color w:val="B0BEC5"/>
                <w:sz w:val="20"/>
                <w:szCs w:val="20"/>
              </w:rPr>
              <w:t xml:space="preserve">From a couple's first dance to a nation's celebration —</w:t>
            </w:r>
          </w:p>
        </w:tc>
      </w:tr>
    </w:tbl>
    <w:p>
      <w:pPr>
        <w:spacing w:after="160" w:before="0"/>
      </w:pPr>
      <w:r>
        <w:t xml:space="preserve"/>
      </w:r>
    </w:p>
    <w:p>
      <w:pPr>
        <w:spacing w:after="120" w:before="0"/>
      </w:pPr>
      <w:r>
        <w:rPr>
          <w:rFonts w:ascii="Arial" w:cs="Arial" w:eastAsia="Arial" w:hAnsi="Arial"/>
          <w:b w:val="false"/>
          <w:bCs w:val="false"/>
          <w:i w:val="false"/>
          <w:iCs w:val="false"/>
          <w:color w:val="475569"/>
          <w:sz w:val="20"/>
          <w:szCs w:val="20"/>
        </w:rPr>
        <w:t xml:space="preserve">In three years, OccasionPro will be the default operating infrastructure for professional event companies globally — the way Shopify is for e-commerce, or Stripe is for payments. Every event company, regardless of size or geography, will have access to enterprise-grade operational intelligence that was previously available only to the largest firms in the world.</w:t>
      </w:r>
    </w:p>
    <w:p>
      <w:pPr>
        <w:spacing w:after="120" w:before="0"/>
      </w:pPr>
      <w:r>
        <w:rPr>
          <w:rFonts w:ascii="Arial" w:cs="Arial" w:eastAsia="Arial" w:hAnsi="Arial"/>
          <w:b w:val="false"/>
          <w:bCs w:val="false"/>
          <w:i w:val="false"/>
          <w:iCs w:val="false"/>
          <w:color w:val="475569"/>
          <w:sz w:val="20"/>
          <w:szCs w:val="20"/>
        </w:rPr>
        <w:t xml:space="preserve">The white-label ecosystem creates a compounding network effect — as more event companies deploy branded instances of OccasionPro, the platform's reach extends to their clients, vendors and guests. Every stakeholder in every event becomes a potential direct user of the platform.</w:t>
      </w:r>
    </w:p>
    <w:p>
      <w:pPr>
        <w:spacing w:after="80" w:before="0"/>
      </w:pPr>
      <w:r>
        <w:t xml:space="preserve"/>
      </w:r>
    </w:p>
    <w:p>
      <w:pPr>
        <w:spacing w:after="80" w:before="160"/>
      </w:pPr>
      <w:r>
        <w:rPr>
          <w:rFonts w:ascii="Arial" w:cs="Arial" w:eastAsia="Arial" w:hAnsi="Arial"/>
          <w:b/>
          <w:bCs/>
          <w:i w:val="false"/>
          <w:iCs w:val="false"/>
          <w:color w:val="1D4ED8"/>
          <w:sz w:val="24"/>
          <w:szCs w:val="24"/>
        </w:rPr>
        <w:t xml:space="preserve">The Long-Term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F172A" w:sz="1"/>
              <w:left w:val="single" w:color="0F172A" w:sz="1"/>
              <w:bottom w:val="single" w:color="0F172A" w:sz="1"/>
              <w:right w:val="single" w:color="0F172A" w:sz="1"/>
            </w:tcBorders>
            <w:shd w:fill="0F172A" w:val="clear"/>
            <w:tcMar>
              <w:top w:type="dxa" w:w="80"/>
              <w:left w:type="dxa" w:w="140"/>
              <w:bottom w:type="dxa" w:w="80"/>
              <w:right w:type="dxa" w:w="140"/>
            </w:tcMar>
          </w:tcPr>
          <w:p>
            <w:r>
              <w:rPr>
                <w:rFonts w:ascii="Arial" w:cs="Arial" w:eastAsia="Arial" w:hAnsi="Arial"/>
                <w:b/>
                <w:bCs/>
                <w:i w:val="false"/>
                <w:iCs w:val="false"/>
                <w:color w:val="FFFFFF"/>
                <w:sz w:val="18"/>
                <w:szCs w:val="18"/>
              </w:rPr>
              <w:t xml:space="preserve">Milestone</w:t>
            </w:r>
          </w:p>
        </w:tc>
        <w:tc>
          <w:tcPr>
            <w:tcW w:type="dxa" w:w="6360"/>
            <w:tcBorders>
              <w:top w:val="single" w:color="0F172A" w:sz="1"/>
              <w:left w:val="single" w:color="0F172A" w:sz="1"/>
              <w:bottom w:val="single" w:color="0F172A" w:sz="1"/>
              <w:right w:val="single" w:color="0F172A" w:sz="1"/>
            </w:tcBorders>
            <w:shd w:fill="0F172A" w:val="clear"/>
            <w:tcMar>
              <w:top w:type="dxa" w:w="80"/>
              <w:left w:type="dxa" w:w="140"/>
              <w:bottom w:type="dxa" w:w="80"/>
              <w:right w:type="dxa" w:w="140"/>
            </w:tcMar>
          </w:tcPr>
          <w:p>
            <w:r>
              <w:rPr>
                <w:rFonts w:ascii="Arial" w:cs="Arial" w:eastAsia="Arial" w:hAnsi="Arial"/>
                <w:b/>
                <w:bCs/>
                <w:i w:val="false"/>
                <w:iCs w:val="false"/>
                <w:color w:val="FFFFFF"/>
                <w:sz w:val="18"/>
                <w:szCs w:val="18"/>
              </w:rPr>
              <w:t xml:space="preserve">What It Means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i w:val="false"/>
                <w:iCs w:val="false"/>
                <w:color w:val="1D4ED8"/>
                <w:sz w:val="18"/>
                <w:szCs w:val="18"/>
              </w:rPr>
              <w:t xml:space="preserve">Year 1 — Product</w:t>
            </w:r>
          </w:p>
        </w:tc>
        <w:tc>
          <w:tcPr>
            <w:tcW w:type="dxa" w:w="6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i w:val="false"/>
                <w:iCs w:val="false"/>
                <w:color w:val="475569"/>
                <w:sz w:val="18"/>
                <w:szCs w:val="18"/>
              </w:rPr>
              <w:t xml:space="preserve">Full platform live across all 7 portals, native mobile apps, paying customers across India and Southeast Asia</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i w:val="false"/>
                <w:iCs w:val="false"/>
                <w:color w:val="1D4ED8"/>
                <w:sz w:val="18"/>
                <w:szCs w:val="18"/>
              </w:rPr>
              <w:t xml:space="preserve">Year 2 — Scale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475569"/>
                <w:sz w:val="18"/>
                <w:szCs w:val="18"/>
              </w:rPr>
              <w:t xml:space="preserve">White-label deployments, 500+ event companies on platform, expansion into Middle East, Europe and North America</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i w:val="false"/>
                <w:iCs w:val="false"/>
                <w:color w:val="1D4ED8"/>
                <w:sz w:val="18"/>
                <w:szCs w:val="18"/>
              </w:rPr>
              <w:t xml:space="preserve">Year 3 — Ecosystem</w:t>
            </w:r>
          </w:p>
        </w:tc>
        <w:tc>
          <w:tcPr>
            <w:tcW w:type="dxa" w:w="6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i w:val="false"/>
                <w:iCs w:val="false"/>
                <w:color w:val="475569"/>
                <w:sz w:val="18"/>
                <w:szCs w:val="18"/>
              </w:rPr>
              <w:t xml:space="preserve">Vendor marketplace, AI model trained on anonymised event data, OccasionPro API for third-party integrations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i w:val="false"/>
                <w:iCs w:val="false"/>
                <w:color w:val="1D4ED8"/>
                <w:sz w:val="18"/>
                <w:szCs w:val="18"/>
              </w:rPr>
              <w:t xml:space="preserve">Year 5 — Infrastructure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475569"/>
                <w:sz w:val="18"/>
                <w:szCs w:val="18"/>
              </w:rPr>
              <w:t xml:space="preserve">OccasionPro becomes the default event data and operations layer — the Stripe of the events industry</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1D4ED8" w:sz="1"/>
              <w:bottom w:val="single" w:color="1D4ED8" w:sz="1"/>
              <w:right w:val="single" w:color="1D4ED8" w:sz="1"/>
            </w:tcBorders>
            <w:shd w:fill="DBEAFE" w:val="clear"/>
            <w:tcMar>
              <w:top w:type="dxa" w:w="240"/>
              <w:left w:type="dxa" w:w="360"/>
              <w:bottom w:type="dxa" w:w="240"/>
              <w:right w:type="dxa" w:w="360"/>
            </w:tcMar>
          </w:tcPr>
          <w:p>
            <w:pPr>
              <w:spacing w:after="80" w:before="0"/>
              <w:jc w:val="center"/>
            </w:pPr>
            <w:r>
              <w:rPr>
                <w:rFonts w:ascii="Arial" w:cs="Arial" w:eastAsia="Arial" w:hAnsi="Arial"/>
                <w:b/>
                <w:bCs/>
                <w:i w:val="false"/>
                <w:iCs w:val="false"/>
                <w:color w:val="0F172A"/>
                <w:sz w:val="32"/>
                <w:szCs w:val="32"/>
              </w:rPr>
              <w:t xml:space="preserve">OccasionPro</w:t>
            </w:r>
          </w:p>
          <w:p>
            <w:pPr>
              <w:spacing w:after="80" w:before="0"/>
              <w:jc w:val="center"/>
            </w:pPr>
            <w:r>
              <w:rPr>
                <w:rFonts w:ascii="Arial" w:cs="Arial" w:eastAsia="Arial" w:hAnsi="Arial"/>
                <w:b w:val="false"/>
                <w:bCs w:val="false"/>
                <w:i/>
                <w:iCs/>
                <w:color w:val="475569"/>
                <w:sz w:val="22"/>
                <w:szCs w:val="22"/>
              </w:rPr>
              <w:t xml:space="preserve">Built for the world's most complex events.</w:t>
            </w:r>
          </w:p>
          <w:p>
            <w:pPr>
              <w:spacing w:after="0" w:before="0"/>
              <w:jc w:val="center"/>
            </w:pPr>
            <w:r>
              <w:rPr>
                <w:rFonts w:ascii="Arial" w:cs="Arial" w:eastAsia="Arial" w:hAnsi="Arial"/>
                <w:b/>
                <w:bCs/>
                <w:i w:val="false"/>
                <w:iCs w:val="false"/>
                <w:color w:val="1D4ED8"/>
                <w:sz w:val="20"/>
                <w:szCs w:val="20"/>
              </w:rPr>
              <w:t xml:space="preserve">Zero compromise on vision. Zero compromise on scale.</w:t>
            </w:r>
          </w:p>
        </w:tc>
      </w:tr>
    </w:tbl>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spacing w:after="0" w:before="60"/>
      <w:jc w:val="center"/>
    </w:pPr>
    <w:r>
      <w:rPr>
        <w:rFonts w:ascii="Arial" w:cs="Arial" w:eastAsia="Arial" w:hAnsi="Arial"/>
        <w:i/>
        <w:iCs/>
        <w:color w:val="64748B"/>
        <w:sz w:val="14"/>
        <w:szCs w:val="14"/>
      </w:rPr>
      <w:t xml:space="preserve">Confidential  ·  OccasionPro  ·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1"/>
      </w:pBdr>
      <w:spacing w:after="80" w:before="0"/>
      <w:jc w:val="right"/>
    </w:pPr>
    <w:r>
      <w:rPr>
        <w:rFonts w:ascii="Arial" w:cs="Arial" w:eastAsia="Arial" w:hAnsi="Arial"/>
        <w:color w:val="64748B"/>
        <w:sz w:val="16"/>
        <w:szCs w:val="16"/>
      </w:rPr>
      <w:t xml:space="preserve">OccasionPro  ·  Enterprise Event Operating System</w:t>
    </w:r>
    <w:r>
      <w:rPr>
        <w:rFonts w:ascii="Arial" w:cs="Arial" w:eastAsia="Arial" w:hAnsi="Arial"/>
        <w:color w:val="64748B"/>
        <w:sz w:val="16"/>
        <w:szCs w:val="16"/>
      </w:rPr>
      <w:t xml:space="preserve">   |   </w:t>
    </w:r>
    <w:r>
      <w:rPr>
        <w:rFonts w:ascii="Arial" w:cs="Arial" w:eastAsia="Arial" w:hAnsi="Arial"/>
        <w:color w:val="64748B"/>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rPr>
        <w:rFonts w:ascii="Arial" w:cs="Arial" w:eastAsia="Arial" w:hAnsi="Arial"/>
        <w:color w:val="1D4ED8"/>
        <w:sz w:val="20"/>
        <w:szCs w:val="20"/>
      </w:rPr>
    </w:lvl>
  </w:abstractNum>
  <w:abstractNum w:abstractNumId="3" w15:restartNumberingAfterBreak="0">
    <w:multiLevelType w:val="hybridMultilevel"/>
    <w:lvl w:ilvl="0" w15:tentative="1">
      <w:start w:val="1"/>
      <w:numFmt w:val="bullet"/>
      <w:lvlText w:val="›"/>
      <w:lvlJc w:val="left"/>
      <w:pPr>
        <w:ind w:left="480" w:hanging="280"/>
      </w:pPr>
      <w:rPr>
        <w:rFonts w:ascii="Arial" w:cs="Arial" w:eastAsia="Arial" w:hAnsi="Arial"/>
        <w:color w:val="1D4ED8"/>
        <w:sz w:val="20"/>
        <w:szCs w:val="2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2026-05-16T11:08:09.597Z</dcterms:created>
  <dcterms:modified xsi:type="dcterms:W3CDTF">2026-05-16T11:08:09.597Z</dcterms:modified>
</cp:coreProperties>
</file>

<file path=docProps/custom.xml><?xml version="1.0" encoding="utf-8"?>
<Properties xmlns="http://schemas.openxmlformats.org/officeDocument/2006/custom-properties" xmlns:vt="http://schemas.openxmlformats.org/officeDocument/2006/docPropsVTypes"/>
</file>