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3A5C"/>
          </w:tcPr>
          <w:p>
            <w:pPr>
              <w:spacing w:before="200" w:after="0"/>
              <w:jc w:val="left"/>
            </w:pPr>
            <w:r>
              <w:rPr>
                <w:rFonts w:ascii="Calibri" w:hAnsi="Calibri"/>
                <w:b/>
                <w:color w:val="A8C4E0"/>
                <w:sz w:val="18"/>
              </w:rPr>
              <w:t>CONFIDENTIAL</w:t>
            </w:r>
            <w:r>
              <w:br/>
            </w:r>
            <w:r>
              <w:rPr>
                <w:rFonts w:ascii="Calibri" w:hAnsi="Calibri"/>
                <w:b/>
                <w:color w:val="FFFFFF"/>
                <w:sz w:val="44"/>
              </w:rPr>
              <w:t>TECHNICAL CODE AUDIT REPORT</w:t>
            </w:r>
          </w:p>
        </w:tc>
      </w:tr>
    </w:tbl>
    <w:p/>
    <w:p>
      <w:pPr>
        <w:spacing w:before="80" w:after="40"/>
        <w:jc w:val="left"/>
      </w:pPr>
      <w:r>
        <w:rPr>
          <w:rFonts w:ascii="Calibri" w:hAnsi="Calibri"/>
          <w:b/>
          <w:color w:val="1A3A5C"/>
          <w:sz w:val="36"/>
        </w:rPr>
        <w:t>German Retail Underwriter (GRU)</w:t>
      </w:r>
    </w:p>
    <w:p>
      <w:pPr>
        <w:jc w:val="left"/>
      </w:pPr>
      <w:r>
        <w:rPr>
          <w:rFonts w:ascii="Calibri" w:hAnsi="Calibri"/>
          <w:color w:val="2E6DA4"/>
          <w:sz w:val="26"/>
        </w:rPr>
        <w:t>Codebase Review — Version 1.3</w:t>
      </w:r>
    </w:p>
    <w:p/>
    <w:tbl>
      <w:tblPr>
        <w:tblW w:type="auto" w:w="0"/>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2835"/>
            <w:shd w:val="clear" w:color="auto" w:fill="F2F5F9"/>
          </w:tcPr>
          <w:p>
            <w:pPr>
              <w:spacing w:before="60" w:after="60"/>
            </w:pPr>
            <w:r>
              <w:rPr>
                <w:rFonts w:ascii="Calibri" w:hAnsi="Calibri"/>
                <w:b/>
                <w:color w:val="3C3C3C"/>
                <w:sz w:val="20"/>
              </w:rPr>
              <w:t>Report Version</w:t>
            </w:r>
          </w:p>
        </w:tc>
        <w:tc>
          <w:tcPr>
            <w:tcW w:type="dxa" w:w="5669"/>
            <w:shd w:val="clear" w:color="auto" w:fill="F2F5F9"/>
          </w:tcPr>
          <w:p>
            <w:pPr>
              <w:spacing w:before="60" w:after="60"/>
            </w:pPr>
            <w:r>
              <w:rPr>
                <w:rFonts w:ascii="Calibri" w:hAnsi="Calibri"/>
                <w:color w:val="3C3C3C"/>
                <w:sz w:val="20"/>
              </w:rPr>
              <w:t>v1.3</w:t>
            </w:r>
          </w:p>
        </w:tc>
      </w:tr>
      <w:tr>
        <w:tc>
          <w:tcPr>
            <w:tcW w:type="dxa" w:w="2835"/>
            <w:shd w:val="clear" w:color="auto" w:fill="FFFFFF"/>
          </w:tcPr>
          <w:p>
            <w:pPr>
              <w:spacing w:before="60" w:after="60"/>
            </w:pPr>
            <w:r>
              <w:rPr>
                <w:rFonts w:ascii="Calibri" w:hAnsi="Calibri"/>
                <w:b/>
                <w:color w:val="3C3C3C"/>
                <w:sz w:val="20"/>
              </w:rPr>
              <w:t>Report Date</w:t>
            </w:r>
          </w:p>
        </w:tc>
        <w:tc>
          <w:tcPr>
            <w:tcW w:type="dxa" w:w="5669"/>
            <w:shd w:val="clear" w:color="auto" w:fill="FFFFFF"/>
          </w:tcPr>
          <w:p>
            <w:pPr>
              <w:spacing w:before="60" w:after="60"/>
            </w:pPr>
            <w:r>
              <w:rPr>
                <w:rFonts w:ascii="Calibri" w:hAnsi="Calibri"/>
                <w:color w:val="3C3C3C"/>
                <w:sz w:val="20"/>
              </w:rPr>
              <w:t>29 March 2026</w:t>
            </w:r>
          </w:p>
        </w:tc>
      </w:tr>
      <w:tr>
        <w:tc>
          <w:tcPr>
            <w:tcW w:type="dxa" w:w="2835"/>
            <w:shd w:val="clear" w:color="auto" w:fill="F2F5F9"/>
          </w:tcPr>
          <w:p>
            <w:pPr>
              <w:spacing w:before="60" w:after="60"/>
            </w:pPr>
            <w:r>
              <w:rPr>
                <w:rFonts w:ascii="Calibri" w:hAnsi="Calibri"/>
                <w:b/>
                <w:color w:val="3C3C3C"/>
                <w:sz w:val="20"/>
              </w:rPr>
              <w:t>Audit Period</w:t>
            </w:r>
          </w:p>
        </w:tc>
        <w:tc>
          <w:tcPr>
            <w:tcW w:type="dxa" w:w="5669"/>
            <w:shd w:val="clear" w:color="auto" w:fill="F2F5F9"/>
          </w:tcPr>
          <w:p>
            <w:pPr>
              <w:spacing w:before="60" w:after="60"/>
            </w:pPr>
            <w:r>
              <w:rPr>
                <w:rFonts w:ascii="Calibri" w:hAnsi="Calibri"/>
                <w:color w:val="3C3C3C"/>
                <w:sz w:val="20"/>
              </w:rPr>
              <w:t>March 2026</w:t>
            </w:r>
          </w:p>
        </w:tc>
      </w:tr>
      <w:tr>
        <w:tc>
          <w:tcPr>
            <w:tcW w:type="dxa" w:w="2835"/>
            <w:shd w:val="clear" w:color="auto" w:fill="FFFFFF"/>
          </w:tcPr>
          <w:p>
            <w:pPr>
              <w:spacing w:before="60" w:after="60"/>
            </w:pPr>
            <w:r>
              <w:rPr>
                <w:rFonts w:ascii="Calibri" w:hAnsi="Calibri"/>
                <w:b/>
                <w:color w:val="3C3C3C"/>
                <w:sz w:val="20"/>
              </w:rPr>
              <w:t>Prepared by</w:t>
            </w:r>
          </w:p>
        </w:tc>
        <w:tc>
          <w:tcPr>
            <w:tcW w:type="dxa" w:w="5669"/>
            <w:shd w:val="clear" w:color="auto" w:fill="FFFFFF"/>
          </w:tcPr>
          <w:p>
            <w:pPr>
              <w:spacing w:before="60" w:after="60"/>
            </w:pPr>
            <w:r>
              <w:rPr>
                <w:rFonts w:ascii="Calibri" w:hAnsi="Calibri"/>
                <w:color w:val="3C3C3C"/>
                <w:sz w:val="20"/>
              </w:rPr>
              <w:t>Technical Review Team</w:t>
            </w:r>
          </w:p>
        </w:tc>
      </w:tr>
      <w:tr>
        <w:tc>
          <w:tcPr>
            <w:tcW w:type="dxa" w:w="2835"/>
            <w:shd w:val="clear" w:color="auto" w:fill="F2F5F9"/>
          </w:tcPr>
          <w:p>
            <w:pPr>
              <w:spacing w:before="60" w:after="60"/>
            </w:pPr>
            <w:r>
              <w:rPr>
                <w:rFonts w:ascii="Calibri" w:hAnsi="Calibri"/>
                <w:b/>
                <w:color w:val="3C3C3C"/>
                <w:sz w:val="20"/>
              </w:rPr>
              <w:t>Reviewed by</w:t>
            </w:r>
          </w:p>
        </w:tc>
        <w:tc>
          <w:tcPr>
            <w:tcW w:type="dxa" w:w="5669"/>
            <w:shd w:val="clear" w:color="auto" w:fill="F2F5F9"/>
          </w:tcPr>
          <w:p>
            <w:pPr>
              <w:spacing w:before="60" w:after="60"/>
            </w:pPr>
            <w:r>
              <w:rPr>
                <w:rFonts w:ascii="Calibri" w:hAnsi="Calibri"/>
                <w:color w:val="3C3C3C"/>
                <w:sz w:val="20"/>
              </w:rPr>
              <w:t>Senior Underwriting Manager</w:t>
            </w:r>
          </w:p>
        </w:tc>
      </w:tr>
      <w:tr>
        <w:tc>
          <w:tcPr>
            <w:tcW w:type="dxa" w:w="2835"/>
            <w:shd w:val="clear" w:color="auto" w:fill="FFFFFF"/>
          </w:tcPr>
          <w:p>
            <w:pPr>
              <w:spacing w:before="60" w:after="60"/>
            </w:pPr>
            <w:r>
              <w:rPr>
                <w:rFonts w:ascii="Calibri" w:hAnsi="Calibri"/>
                <w:b/>
                <w:color w:val="3C3C3C"/>
                <w:sz w:val="20"/>
              </w:rPr>
              <w:t>Approved by</w:t>
            </w:r>
          </w:p>
        </w:tc>
        <w:tc>
          <w:tcPr>
            <w:tcW w:type="dxa" w:w="5669"/>
            <w:shd w:val="clear" w:color="auto" w:fill="FFFFFF"/>
          </w:tcPr>
          <w:p>
            <w:pPr>
              <w:spacing w:before="60" w:after="60"/>
            </w:pPr>
            <w:r>
              <w:rPr>
                <w:rFonts w:ascii="Calibri" w:hAnsi="Calibri"/>
                <w:color w:val="3C3C3C"/>
                <w:sz w:val="20"/>
              </w:rPr>
              <w:t>Head of Real Estate Finance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FFF8E1"/>
            <w:tcBorders>
              <w:top w:val="single" w:sz="8" w:color="D4A000"/>
              <w:bottom w:val="single" w:sz="8" w:color="D4A000"/>
              <w:left w:val="single" w:sz="24" w:color="D4A000"/>
              <w:right w:val="single" w:sz="8" w:color="D4A000"/>
            </w:tcBorders>
          </w:tcPr>
          <w:p>
            <w:pPr>
              <w:spacing w:before="100" w:after="100"/>
            </w:pPr>
            <w:r>
              <w:rPr>
                <w:rFonts w:ascii="Calibri" w:hAnsi="Calibri"/>
                <w:b/>
                <w:i w:val="0"/>
                <w:color w:val="A06000"/>
                <w:sz w:val="18"/>
              </w:rPr>
              <w:t xml:space="preserve">DISTRIBUTION: </w:t>
            </w:r>
            <w:r>
              <w:rPr>
                <w:rFonts w:ascii="Calibri" w:hAnsi="Calibri"/>
                <w:b w:val="0"/>
                <w:i w:val="0"/>
                <w:color w:val="605000"/>
                <w:sz w:val="18"/>
              </w:rPr>
              <w:t>This document is prepared for internal use by the Real Estate Finance team. It contains proprietary code-review findings and must not be distributed outside the organisation without prior written approval.</w:t>
            </w:r>
          </w:p>
        </w:tc>
      </w:tr>
    </w:tbl>
    <w:p>
      <w:r>
        <w:br w:type="page"/>
      </w:r>
    </w:p>
    <w:p>
      <w:pPr>
        <w:spacing w:before="280" w:after="80"/>
        <w:pBdr>
          <w:bottom w:val="single" w:sz="6" w:color="1A3A5C"/>
        </w:pBdr>
      </w:pPr>
      <w:r>
        <w:rPr>
          <w:rFonts w:ascii="Calibri" w:hAnsi="Calibri"/>
          <w:b/>
          <w:color w:val="1A3A5C"/>
          <w:sz w:val="24"/>
        </w:rPr>
        <w:t xml:space="preserve">   TABLE OF 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680"/>
            <w:shd w:val="clear" w:color="auto" w:fill="F2F5F9"/>
          </w:tcPr>
          <w:p>
            <w:pPr>
              <w:spacing w:before="60" w:after="60"/>
            </w:pPr>
            <w:r>
              <w:rPr>
                <w:rFonts w:ascii="Calibri" w:hAnsi="Calibri"/>
                <w:b/>
                <w:i w:val="0"/>
                <w:color w:val="2E6DA4"/>
                <w:sz w:val="20"/>
              </w:rPr>
              <w:t>1</w:t>
            </w:r>
          </w:p>
        </w:tc>
        <w:tc>
          <w:tcPr>
            <w:tcW w:type="dxa" w:w="7370"/>
            <w:shd w:val="clear" w:color="auto" w:fill="F2F5F9"/>
          </w:tcPr>
          <w:p>
            <w:pPr>
              <w:spacing w:before="60" w:after="60"/>
            </w:pPr>
            <w:r>
              <w:rPr>
                <w:rFonts w:ascii="Calibri" w:hAnsi="Calibri"/>
                <w:b w:val="0"/>
                <w:i w:val="0"/>
                <w:color w:val="3C3C3C"/>
                <w:sz w:val="20"/>
              </w:rPr>
              <w:t>Executive Summary</w:t>
            </w:r>
          </w:p>
        </w:tc>
        <w:tc>
          <w:tcPr>
            <w:tcW w:type="dxa" w:w="680"/>
            <w:shd w:val="clear" w:color="auto" w:fill="F2F5F9"/>
          </w:tcPr>
          <w:p>
            <w:pPr>
              <w:spacing w:before="60" w:after="60"/>
              <w:jc w:val="right"/>
            </w:pPr>
            <w:r>
              <w:rPr>
                <w:rFonts w:ascii="Calibri" w:hAnsi="Calibri"/>
                <w:b w:val="0"/>
                <w:i w:val="0"/>
                <w:color w:val="3C3C3C"/>
                <w:sz w:val="20"/>
              </w:rPr>
              <w:t>3</w:t>
            </w:r>
          </w:p>
        </w:tc>
      </w:tr>
      <w:tr>
        <w:tc>
          <w:tcPr>
            <w:tcW w:type="dxa" w:w="680"/>
            <w:shd w:val="clear" w:color="auto" w:fill="FFFFFF"/>
          </w:tcPr>
          <w:p>
            <w:pPr>
              <w:spacing w:before="60" w:after="60"/>
            </w:pPr>
            <w:r>
              <w:rPr>
                <w:rFonts w:ascii="Calibri" w:hAnsi="Calibri"/>
                <w:b/>
                <w:i w:val="0"/>
                <w:color w:val="2E6DA4"/>
                <w:sz w:val="20"/>
              </w:rPr>
              <w:t>2</w:t>
            </w:r>
          </w:p>
        </w:tc>
        <w:tc>
          <w:tcPr>
            <w:tcW w:type="dxa" w:w="7370"/>
            <w:shd w:val="clear" w:color="auto" w:fill="FFFFFF"/>
          </w:tcPr>
          <w:p>
            <w:pPr>
              <w:spacing w:before="60" w:after="60"/>
            </w:pPr>
            <w:r>
              <w:rPr>
                <w:rFonts w:ascii="Calibri" w:hAnsi="Calibri"/>
                <w:b w:val="0"/>
                <w:i w:val="0"/>
                <w:color w:val="3C3C3C"/>
                <w:sz w:val="20"/>
              </w:rPr>
              <w:t>Scope of Review</w:t>
            </w:r>
          </w:p>
        </w:tc>
        <w:tc>
          <w:tcPr>
            <w:tcW w:type="dxa" w:w="680"/>
            <w:shd w:val="clear" w:color="auto" w:fill="FFFFFF"/>
          </w:tcPr>
          <w:p>
            <w:pPr>
              <w:spacing w:before="60" w:after="60"/>
              <w:jc w:val="right"/>
            </w:pPr>
            <w:r>
              <w:rPr>
                <w:rFonts w:ascii="Calibri" w:hAnsi="Calibri"/>
                <w:b w:val="0"/>
                <w:i w:val="0"/>
                <w:color w:val="3C3C3C"/>
                <w:sz w:val="20"/>
              </w:rPr>
              <w:t>3</w:t>
            </w:r>
          </w:p>
        </w:tc>
      </w:tr>
      <w:tr>
        <w:tc>
          <w:tcPr>
            <w:tcW w:type="dxa" w:w="680"/>
            <w:shd w:val="clear" w:color="auto" w:fill="F2F5F9"/>
          </w:tcPr>
          <w:p>
            <w:pPr>
              <w:spacing w:before="60" w:after="60"/>
            </w:pPr>
            <w:r>
              <w:rPr>
                <w:rFonts w:ascii="Calibri" w:hAnsi="Calibri"/>
                <w:b/>
                <w:i w:val="0"/>
                <w:color w:val="2E6DA4"/>
                <w:sz w:val="20"/>
              </w:rPr>
              <w:t>3</w:t>
            </w:r>
          </w:p>
        </w:tc>
        <w:tc>
          <w:tcPr>
            <w:tcW w:type="dxa" w:w="7370"/>
            <w:shd w:val="clear" w:color="auto" w:fill="F2F5F9"/>
          </w:tcPr>
          <w:p>
            <w:pPr>
              <w:spacing w:before="60" w:after="60"/>
            </w:pPr>
            <w:r>
              <w:rPr>
                <w:rFonts w:ascii="Calibri" w:hAnsi="Calibri"/>
                <w:b w:val="0"/>
                <w:i w:val="0"/>
                <w:color w:val="3C3C3C"/>
                <w:sz w:val="20"/>
              </w:rPr>
              <w:t>Summary of Findings</w:t>
            </w:r>
          </w:p>
        </w:tc>
        <w:tc>
          <w:tcPr>
            <w:tcW w:type="dxa" w:w="680"/>
            <w:shd w:val="clear" w:color="auto" w:fill="F2F5F9"/>
          </w:tcPr>
          <w:p>
            <w:pPr>
              <w:spacing w:before="60" w:after="60"/>
              <w:jc w:val="right"/>
            </w:pPr>
            <w:r>
              <w:rPr>
                <w:rFonts w:ascii="Calibri" w:hAnsi="Calibri"/>
                <w:b w:val="0"/>
                <w:i w:val="0"/>
                <w:color w:val="3C3C3C"/>
                <w:sz w:val="20"/>
              </w:rPr>
              <w:t>4</w:t>
            </w:r>
          </w:p>
        </w:tc>
      </w:tr>
      <w:tr>
        <w:tc>
          <w:tcPr>
            <w:tcW w:type="dxa" w:w="680"/>
            <w:shd w:val="clear" w:color="auto" w:fill="FFFFFF"/>
          </w:tcPr>
          <w:p>
            <w:pPr>
              <w:spacing w:before="60" w:after="60"/>
            </w:pPr>
            <w:r>
              <w:rPr>
                <w:rFonts w:ascii="Calibri" w:hAnsi="Calibri"/>
                <w:b/>
                <w:i w:val="0"/>
                <w:color w:val="2E6DA4"/>
                <w:sz w:val="20"/>
              </w:rPr>
              <w:t>4</w:t>
            </w:r>
          </w:p>
        </w:tc>
        <w:tc>
          <w:tcPr>
            <w:tcW w:type="dxa" w:w="7370"/>
            <w:shd w:val="clear" w:color="auto" w:fill="FFFFFF"/>
          </w:tcPr>
          <w:p>
            <w:pPr>
              <w:spacing w:before="60" w:after="60"/>
            </w:pPr>
            <w:r>
              <w:rPr>
                <w:rFonts w:ascii="Calibri" w:hAnsi="Calibri"/>
                <w:b w:val="0"/>
                <w:i w:val="0"/>
                <w:color w:val="3C3C3C"/>
                <w:sz w:val="20"/>
              </w:rPr>
              <w:t>Detailed Findings</w:t>
            </w:r>
          </w:p>
        </w:tc>
        <w:tc>
          <w:tcPr>
            <w:tcW w:type="dxa" w:w="680"/>
            <w:shd w:val="clear" w:color="auto" w:fill="FFFFFF"/>
          </w:tcPr>
          <w:p>
            <w:pPr>
              <w:spacing w:before="60" w:after="60"/>
              <w:jc w:val="right"/>
            </w:pPr>
            <w:r>
              <w:rPr>
                <w:rFonts w:ascii="Calibri" w:hAnsi="Calibri"/>
                <w:b w:val="0"/>
                <w:i w:val="0"/>
                <w:color w:val="3C3C3C"/>
                <w:sz w:val="20"/>
              </w:rPr>
              <w:t>5</w:t>
            </w:r>
          </w:p>
        </w:tc>
      </w:tr>
      <w:tr>
        <w:tc>
          <w:tcPr>
            <w:tcW w:type="dxa" w:w="680"/>
            <w:shd w:val="clear" w:color="auto" w:fill="F2F5F9"/>
          </w:tcPr>
          <w:p>
            <w:pPr>
              <w:spacing w:before="60" w:after="60"/>
            </w:pPr>
            <w:r>
              <w:rPr>
                <w:rFonts w:ascii="Calibri" w:hAnsi="Calibri"/>
                <w:b/>
                <w:i w:val="0"/>
                <w:color w:val="2E6DA4"/>
                <w:sz w:val="20"/>
              </w:rPr>
              <w:t>5</w:t>
            </w:r>
          </w:p>
        </w:tc>
        <w:tc>
          <w:tcPr>
            <w:tcW w:type="dxa" w:w="7370"/>
            <w:shd w:val="clear" w:color="auto" w:fill="F2F5F9"/>
          </w:tcPr>
          <w:p>
            <w:pPr>
              <w:spacing w:before="60" w:after="60"/>
            </w:pPr>
            <w:r>
              <w:rPr>
                <w:rFonts w:ascii="Calibri" w:hAnsi="Calibri"/>
                <w:b w:val="0"/>
                <w:i w:val="0"/>
                <w:color w:val="3C3C3C"/>
                <w:sz w:val="20"/>
              </w:rPr>
              <w:t>Findings Register</w:t>
            </w:r>
          </w:p>
        </w:tc>
        <w:tc>
          <w:tcPr>
            <w:tcW w:type="dxa" w:w="680"/>
            <w:shd w:val="clear" w:color="auto" w:fill="F2F5F9"/>
          </w:tcPr>
          <w:p>
            <w:pPr>
              <w:spacing w:before="60" w:after="60"/>
              <w:jc w:val="right"/>
            </w:pPr>
            <w:r>
              <w:rPr>
                <w:rFonts w:ascii="Calibri" w:hAnsi="Calibri"/>
                <w:b w:val="0"/>
                <w:i w:val="0"/>
                <w:color w:val="3C3C3C"/>
                <w:sz w:val="20"/>
              </w:rPr>
              <w:t>6</w:t>
            </w:r>
          </w:p>
        </w:tc>
      </w:tr>
      <w:tr>
        <w:tc>
          <w:tcPr>
            <w:tcW w:type="dxa" w:w="680"/>
            <w:shd w:val="clear" w:color="auto" w:fill="FFFFFF"/>
          </w:tcPr>
          <w:p>
            <w:pPr>
              <w:spacing w:before="60" w:after="60"/>
            </w:pPr>
            <w:r>
              <w:rPr>
                <w:rFonts w:ascii="Calibri" w:hAnsi="Calibri"/>
                <w:b/>
                <w:i w:val="0"/>
                <w:color w:val="2E6DA4"/>
                <w:sz w:val="20"/>
              </w:rPr>
              <w:t>6</w:t>
            </w:r>
          </w:p>
        </w:tc>
        <w:tc>
          <w:tcPr>
            <w:tcW w:type="dxa" w:w="7370"/>
            <w:shd w:val="clear" w:color="auto" w:fill="FFFFFF"/>
          </w:tcPr>
          <w:p>
            <w:pPr>
              <w:spacing w:before="60" w:after="60"/>
            </w:pPr>
            <w:r>
              <w:rPr>
                <w:rFonts w:ascii="Calibri" w:hAnsi="Calibri"/>
                <w:b w:val="0"/>
                <w:i w:val="0"/>
                <w:color w:val="3C3C3C"/>
                <w:sz w:val="20"/>
              </w:rPr>
              <w:t>Recommended Remediation Plan</w:t>
            </w:r>
          </w:p>
        </w:tc>
        <w:tc>
          <w:tcPr>
            <w:tcW w:type="dxa" w:w="680"/>
            <w:shd w:val="clear" w:color="auto" w:fill="FFFFFF"/>
          </w:tcPr>
          <w:p>
            <w:pPr>
              <w:spacing w:before="60" w:after="60"/>
              <w:jc w:val="right"/>
            </w:pPr>
            <w:r>
              <w:rPr>
                <w:rFonts w:ascii="Calibri" w:hAnsi="Calibri"/>
                <w:b w:val="0"/>
                <w:i w:val="0"/>
                <w:color w:val="3C3C3C"/>
                <w:sz w:val="20"/>
              </w:rPr>
              <w:t>11</w:t>
            </w:r>
          </w:p>
        </w:tc>
      </w:tr>
      <w:tr>
        <w:tc>
          <w:tcPr>
            <w:tcW w:type="dxa" w:w="680"/>
            <w:shd w:val="clear" w:color="auto" w:fill="F2F5F9"/>
          </w:tcPr>
          <w:p>
            <w:pPr>
              <w:spacing w:before="60" w:after="60"/>
            </w:pPr>
            <w:r>
              <w:rPr>
                <w:rFonts w:ascii="Calibri" w:hAnsi="Calibri"/>
                <w:b/>
                <w:i w:val="0"/>
                <w:color w:val="2E6DA4"/>
                <w:sz w:val="20"/>
              </w:rPr>
              <w:t>7</w:t>
            </w:r>
          </w:p>
        </w:tc>
        <w:tc>
          <w:tcPr>
            <w:tcW w:type="dxa" w:w="7370"/>
            <w:shd w:val="clear" w:color="auto" w:fill="F2F5F9"/>
          </w:tcPr>
          <w:p>
            <w:pPr>
              <w:spacing w:before="60" w:after="60"/>
            </w:pPr>
            <w:r>
              <w:rPr>
                <w:rFonts w:ascii="Calibri" w:hAnsi="Calibri"/>
                <w:b w:val="0"/>
                <w:i w:val="0"/>
                <w:color w:val="3C3C3C"/>
                <w:sz w:val="20"/>
              </w:rPr>
              <w:t>Sign-Off and Approvals</w:t>
            </w:r>
          </w:p>
        </w:tc>
        <w:tc>
          <w:tcPr>
            <w:tcW w:type="dxa" w:w="680"/>
            <w:shd w:val="clear" w:color="auto" w:fill="F2F5F9"/>
          </w:tcPr>
          <w:p>
            <w:pPr>
              <w:spacing w:before="60" w:after="60"/>
              <w:jc w:val="right"/>
            </w:pPr>
            <w:r>
              <w:rPr>
                <w:rFonts w:ascii="Calibri" w:hAnsi="Calibri"/>
                <w:b w:val="0"/>
                <w:i w:val="0"/>
                <w:color w:val="3C3C3C"/>
                <w:sz w:val="20"/>
              </w:rPr>
              <w:t>12</w:t>
            </w:r>
          </w:p>
        </w:tc>
      </w:tr>
    </w:tbl>
    <w:p>
      <w:r>
        <w:br w:type="page"/>
      </w:r>
    </w:p>
    <w:p>
      <w:pPr>
        <w:spacing w:before="280" w:after="80"/>
        <w:pBdr>
          <w:bottom w:val="single" w:sz="6" w:color="1A3A5C"/>
        </w:pBdr>
      </w:pPr>
      <w:r>
        <w:rPr>
          <w:rFonts w:ascii="Calibri" w:hAnsi="Calibri"/>
          <w:b/>
          <w:color w:val="1A3A5C"/>
          <w:sz w:val="24"/>
        </w:rPr>
        <w:t>1   EXECUTIVE SUMMARY</w:t>
      </w:r>
    </w:p>
    <w:p>
      <w:pPr>
        <w:spacing w:before="0" w:after="120"/>
      </w:pPr>
      <w:r>
        <w:rPr>
          <w:rFonts w:ascii="Calibri" w:hAnsi="Calibri"/>
          <w:color w:val="3C3C3C"/>
          <w:sz w:val="20"/>
        </w:rPr>
        <w:t>This report presents the findings of a technical code audit conducted on the German Retail Underwriter (GRU) platform, an internally developed Python-based system used for institutional-grade analysis of German retail commercial real estate transactions. The audit covered all nine Python modules comprising the platform as of March 2026.</w:t>
      </w:r>
    </w:p>
    <w:p>
      <w:pPr>
        <w:spacing w:before="0" w:after="120"/>
      </w:pPr>
      <w:r>
        <w:rPr>
          <w:rFonts w:ascii="Calibri" w:hAnsi="Calibri"/>
          <w:color w:val="3C3C3C"/>
          <w:sz w:val="20"/>
        </w:rPr>
        <w:t>The review assessed correctness of financial calculations, cross-module consistency, robustness of data ingestion and parsing routines, and the reliability of the verdict engine that classifies deals as PASS, INVESTIGATE, or DECLINE for credit committee presentation.</w:t>
      </w:r>
    </w:p>
    <w:p>
      <w:pPr>
        <w:spacing w:before="0" w:after="80"/>
      </w:pPr>
      <w:r>
        <w:rPr>
          <w:rFonts w:ascii="Calibri" w:hAnsi="Calibri"/>
          <w:color w:val="3C3C3C"/>
          <w:sz w:val="20"/>
        </w:rPr>
        <w:t>Two critical-severity defects were identified and have been remediated as part of this review cycle. Eight further issues of Warning or Minor severity remain open and are subject to the remediation plan set out in Section 6. No issues were found with the core financial formulae (DSCR, LTV, ICR, GIY, NIY, WAULT, Debt Yield, AfA) or the QA threshold logic.</w:t>
      </w:r>
    </w:p>
    <w:tbl>
      <w:tblPr>
        <w:tblW w:type="auto" w:w="0"/>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2268"/>
            <w:shd w:val="clear" w:color="auto" w:fill="1A3A5C"/>
          </w:tcPr>
          <w:p>
            <w:pPr>
              <w:spacing w:before="100" w:after="100"/>
              <w:jc w:val="center"/>
            </w:pPr>
            <w:r>
              <w:rPr>
                <w:rFonts w:ascii="Calibri" w:hAnsi="Calibri"/>
                <w:b/>
                <w:i w:val="0"/>
                <w:color w:val="FFFFFF"/>
                <w:sz w:val="18"/>
              </w:rPr>
              <w:t>Total Findings</w:t>
            </w:r>
          </w:p>
        </w:tc>
        <w:tc>
          <w:tcPr>
            <w:tcW w:type="dxa" w:w="2268"/>
            <w:shd w:val="clear" w:color="auto" w:fill="C0392B"/>
          </w:tcPr>
          <w:p>
            <w:pPr>
              <w:spacing w:before="100" w:after="100"/>
              <w:jc w:val="center"/>
            </w:pPr>
            <w:r>
              <w:rPr>
                <w:rFonts w:ascii="Calibri" w:hAnsi="Calibri"/>
                <w:b/>
                <w:i w:val="0"/>
                <w:color w:val="FFFFFF"/>
                <w:sz w:val="18"/>
              </w:rPr>
              <w:t>Critical</w:t>
            </w:r>
          </w:p>
        </w:tc>
        <w:tc>
          <w:tcPr>
            <w:tcW w:type="dxa" w:w="2268"/>
            <w:shd w:val="clear" w:color="auto" w:fill="D47A00"/>
          </w:tcPr>
          <w:p>
            <w:pPr>
              <w:spacing w:before="100" w:after="100"/>
              <w:jc w:val="center"/>
            </w:pPr>
            <w:r>
              <w:rPr>
                <w:rFonts w:ascii="Calibri" w:hAnsi="Calibri"/>
                <w:b/>
                <w:i w:val="0"/>
                <w:color w:val="FFFFFF"/>
                <w:sz w:val="18"/>
              </w:rPr>
              <w:t>Warning</w:t>
            </w:r>
          </w:p>
        </w:tc>
        <w:tc>
          <w:tcPr>
            <w:tcW w:type="dxa" w:w="2268"/>
            <w:shd w:val="clear" w:color="auto" w:fill="1E7E4E"/>
          </w:tcPr>
          <w:p>
            <w:pPr>
              <w:spacing w:before="100" w:after="100"/>
              <w:jc w:val="center"/>
            </w:pPr>
            <w:r>
              <w:rPr>
                <w:rFonts w:ascii="Calibri" w:hAnsi="Calibri"/>
                <w:b/>
                <w:i w:val="0"/>
                <w:color w:val="FFFFFF"/>
                <w:sz w:val="18"/>
              </w:rPr>
              <w:t>Minor</w:t>
            </w:r>
          </w:p>
        </w:tc>
      </w:tr>
      <w:tr>
        <w:tc>
          <w:tcPr>
            <w:tcW w:type="dxa" w:w="2268"/>
            <w:shd w:val="clear" w:color="auto" w:fill="F2F5F9"/>
          </w:tcPr>
          <w:p>
            <w:pPr>
              <w:spacing w:before="100" w:after="100"/>
              <w:jc w:val="center"/>
            </w:pPr>
            <w:r>
              <w:rPr>
                <w:rFonts w:ascii="Calibri" w:hAnsi="Calibri"/>
                <w:b/>
                <w:i w:val="0"/>
                <w:color w:val="3C3C3C"/>
                <w:sz w:val="22"/>
              </w:rPr>
              <w:t>10</w:t>
            </w:r>
          </w:p>
        </w:tc>
        <w:tc>
          <w:tcPr>
            <w:tcW w:type="dxa" w:w="2268"/>
            <w:shd w:val="clear" w:color="auto" w:fill="F2F5F9"/>
          </w:tcPr>
          <w:p>
            <w:pPr>
              <w:spacing w:before="100" w:after="100"/>
              <w:jc w:val="center"/>
            </w:pPr>
            <w:r>
              <w:rPr>
                <w:rFonts w:ascii="Calibri" w:hAnsi="Calibri"/>
                <w:b/>
                <w:i w:val="0"/>
                <w:color w:val="3C3C3C"/>
                <w:sz w:val="22"/>
              </w:rPr>
              <w:t>2  (Resolved)</w:t>
            </w:r>
          </w:p>
        </w:tc>
        <w:tc>
          <w:tcPr>
            <w:tcW w:type="dxa" w:w="2268"/>
            <w:shd w:val="clear" w:color="auto" w:fill="F2F5F9"/>
          </w:tcPr>
          <w:p>
            <w:pPr>
              <w:spacing w:before="100" w:after="100"/>
              <w:jc w:val="center"/>
            </w:pPr>
            <w:r>
              <w:rPr>
                <w:rFonts w:ascii="Calibri" w:hAnsi="Calibri"/>
                <w:b/>
                <w:i w:val="0"/>
                <w:color w:val="3C3C3C"/>
                <w:sz w:val="22"/>
              </w:rPr>
              <w:t>7  (Open)</w:t>
            </w:r>
          </w:p>
        </w:tc>
        <w:tc>
          <w:tcPr>
            <w:tcW w:type="dxa" w:w="2268"/>
            <w:shd w:val="clear" w:color="auto" w:fill="F2F5F9"/>
          </w:tcPr>
          <w:p>
            <w:pPr>
              <w:spacing w:before="100" w:after="100"/>
              <w:jc w:val="center"/>
            </w:pPr>
            <w:r>
              <w:rPr>
                <w:rFonts w:ascii="Calibri" w:hAnsi="Calibri"/>
                <w:b/>
                <w:i w:val="0"/>
                <w:color w:val="3C3C3C"/>
                <w:sz w:val="22"/>
              </w:rPr>
              <w:t>1  (Open)</w:t>
            </w:r>
          </w:p>
        </w:tc>
      </w:tr>
    </w:tbl>
    <w:p/>
    <w:p>
      <w:pPr>
        <w:spacing w:before="280" w:after="80"/>
        <w:pBdr>
          <w:bottom w:val="single" w:sz="6" w:color="1A3A5C"/>
        </w:pBdr>
      </w:pPr>
      <w:r>
        <w:rPr>
          <w:rFonts w:ascii="Calibri" w:hAnsi="Calibri"/>
          <w:b/>
          <w:color w:val="1A3A5C"/>
          <w:sz w:val="24"/>
        </w:rPr>
        <w:t>2   SCOPE OF REVIEW</w:t>
      </w:r>
    </w:p>
    <w:p>
      <w:pPr>
        <w:spacing w:before="160" w:after="40"/>
      </w:pPr>
      <w:r>
        <w:rPr>
          <w:rFonts w:ascii="Calibri" w:hAnsi="Calibri"/>
          <w:b/>
          <w:color w:val="2E6DA4"/>
          <w:sz w:val="21"/>
        </w:rPr>
        <w:t>2.1  Modules Reviewed</w:t>
      </w:r>
    </w:p>
    <w:p>
      <w:pPr>
        <w:spacing w:before="20" w:after="20"/>
      </w:pPr>
      <w:r>
        <w:rPr>
          <w:rFonts w:ascii="Courier New" w:hAnsi="Courier New"/>
          <w:b/>
          <w:i w:val="0"/>
          <w:color w:val="1A3A5C"/>
          <w:sz w:val="19"/>
        </w:rPr>
        <w:t xml:space="preserve">rent_roll_parser.py           </w:t>
      </w:r>
      <w:r>
        <w:rPr>
          <w:rFonts w:ascii="Calibri" w:hAnsi="Calibri"/>
          <w:b w:val="0"/>
          <w:i w:val="0"/>
          <w:color w:val="3C3C3C"/>
          <w:sz w:val="19"/>
        </w:rPr>
        <w:t>Core analytics engine — Excel ingestion, metric computation, QA audit, verdict generation</w:t>
      </w:r>
    </w:p>
    <w:p>
      <w:pPr>
        <w:spacing w:before="20" w:after="20"/>
      </w:pPr>
      <w:r>
        <w:rPr>
          <w:rFonts w:ascii="Courier New" w:hAnsi="Courier New"/>
          <w:b/>
          <w:i w:val="0"/>
          <w:color w:val="1A3A5C"/>
          <w:sz w:val="19"/>
        </w:rPr>
        <w:t xml:space="preserve">app 7.py                      </w:t>
      </w:r>
      <w:r>
        <w:rPr>
          <w:rFonts w:ascii="Calibri" w:hAnsi="Calibri"/>
          <w:b w:val="0"/>
          <w:i w:val="0"/>
          <w:color w:val="3C3C3C"/>
          <w:sz w:val="19"/>
        </w:rPr>
        <w:t>Streamlit front-end — all user-facing tabs, IRR projection, heatmap, deal pack export</w:t>
      </w:r>
    </w:p>
    <w:p>
      <w:pPr>
        <w:spacing w:before="20" w:after="20"/>
      </w:pPr>
      <w:r>
        <w:rPr>
          <w:rFonts w:ascii="Courier New" w:hAnsi="Courier New"/>
          <w:b/>
          <w:i w:val="0"/>
          <w:color w:val="1A3A5C"/>
          <w:sz w:val="19"/>
        </w:rPr>
        <w:t xml:space="preserve">bank_submission.py            </w:t>
      </w:r>
      <w:r>
        <w:rPr>
          <w:rFonts w:ascii="Calibri" w:hAnsi="Calibri"/>
          <w:b w:val="0"/>
          <w:i w:val="0"/>
          <w:color w:val="3C3C3C"/>
          <w:sz w:val="19"/>
        </w:rPr>
        <w:t>PDF generator — bank submission package (cover page, metrics, rent roll, risk section)</w:t>
      </w:r>
    </w:p>
    <w:p>
      <w:pPr>
        <w:spacing w:before="20" w:after="20"/>
      </w:pPr>
      <w:r>
        <w:rPr>
          <w:rFonts w:ascii="Courier New" w:hAnsi="Courier New"/>
          <w:b/>
          <w:i w:val="0"/>
          <w:color w:val="1A3A5C"/>
          <w:sz w:val="19"/>
        </w:rPr>
        <w:t xml:space="preserve">practice_deals7.py            </w:t>
      </w:r>
      <w:r>
        <w:rPr>
          <w:rFonts w:ascii="Calibri" w:hAnsi="Calibri"/>
          <w:b w:val="0"/>
          <w:i w:val="0"/>
          <w:color w:val="3C3C3C"/>
          <w:sz w:val="19"/>
        </w:rPr>
        <w:t>Training deal library — 8 synthetic deals with expected verdicts and teaching notes</w:t>
      </w:r>
    </w:p>
    <w:p>
      <w:pPr>
        <w:spacing w:before="20" w:after="20"/>
      </w:pPr>
      <w:r>
        <w:rPr>
          <w:rFonts w:ascii="Courier New" w:hAnsi="Courier New"/>
          <w:b/>
          <w:i w:val="0"/>
          <w:color w:val="1A3A5C"/>
          <w:sz w:val="19"/>
        </w:rPr>
        <w:t xml:space="preserve">practice_deals 8.py           </w:t>
      </w:r>
      <w:r>
        <w:rPr>
          <w:rFonts w:ascii="Calibri" w:hAnsi="Calibri"/>
          <w:b w:val="0"/>
          <w:i w:val="0"/>
          <w:color w:val="3C3C3C"/>
          <w:sz w:val="19"/>
        </w:rPr>
        <w:t>Duplicate of practice_deals7.py — verified identical</w:t>
      </w:r>
    </w:p>
    <w:p>
      <w:pPr>
        <w:spacing w:before="20" w:after="20"/>
      </w:pPr>
      <w:r>
        <w:rPr>
          <w:rFonts w:ascii="Courier New" w:hAnsi="Courier New"/>
          <w:b/>
          <w:i w:val="0"/>
          <w:color w:val="1A3A5C"/>
          <w:sz w:val="19"/>
        </w:rPr>
        <w:t xml:space="preserve">deal_simulator.py             </w:t>
      </w:r>
      <w:r>
        <w:rPr>
          <w:rFonts w:ascii="Calibri" w:hAnsi="Calibri"/>
          <w:b w:val="0"/>
          <w:i w:val="0"/>
          <w:color w:val="3C3C3C"/>
          <w:sz w:val="19"/>
        </w:rPr>
        <w:t>Scenario writer — populates Excel template with synthetic deal data</w:t>
      </w:r>
    </w:p>
    <w:p>
      <w:pPr>
        <w:spacing w:before="20" w:after="20"/>
      </w:pPr>
      <w:r>
        <w:rPr>
          <w:rFonts w:ascii="Courier New" w:hAnsi="Courier New"/>
          <w:b/>
          <w:i w:val="0"/>
          <w:color w:val="1A3A5C"/>
          <w:sz w:val="19"/>
        </w:rPr>
        <w:t xml:space="preserve">intake_deal.py                </w:t>
      </w:r>
      <w:r>
        <w:rPr>
          <w:rFonts w:ascii="Calibri" w:hAnsi="Calibri"/>
          <w:b w:val="0"/>
          <w:i w:val="0"/>
          <w:color w:val="3C3C3C"/>
          <w:sz w:val="19"/>
        </w:rPr>
        <w:t>New deal intake — data entry template and pre-flight validation</w:t>
      </w:r>
    </w:p>
    <w:p>
      <w:pPr>
        <w:spacing w:before="20" w:after="20"/>
      </w:pPr>
      <w:r>
        <w:rPr>
          <w:rFonts w:ascii="Courier New" w:hAnsi="Courier New"/>
          <w:b/>
          <w:i w:val="0"/>
          <w:color w:val="1A3A5C"/>
          <w:sz w:val="19"/>
        </w:rPr>
        <w:t xml:space="preserve">deal_converter 8.py           </w:t>
      </w:r>
      <w:r>
        <w:rPr>
          <w:rFonts w:ascii="Calibri" w:hAnsi="Calibri"/>
          <w:b w:val="0"/>
          <w:i w:val="0"/>
          <w:color w:val="3C3C3C"/>
          <w:sz w:val="19"/>
        </w:rPr>
        <w:t>Broker data converter — fuzzy-column Excel import and free-text parser</w:t>
      </w:r>
    </w:p>
    <w:p>
      <w:pPr>
        <w:spacing w:before="20" w:after="20"/>
      </w:pPr>
      <w:r>
        <w:rPr>
          <w:rFonts w:ascii="Courier New" w:hAnsi="Courier New"/>
          <w:b/>
          <w:i w:val="0"/>
          <w:color w:val="1A3A5C"/>
          <w:sz w:val="19"/>
        </w:rPr>
        <w:t xml:space="preserve">dd_scanner 7.py               </w:t>
      </w:r>
      <w:r>
        <w:rPr>
          <w:rFonts w:ascii="Calibri" w:hAnsi="Calibri"/>
          <w:b w:val="0"/>
          <w:i w:val="0"/>
          <w:color w:val="3C3C3C"/>
          <w:sz w:val="19"/>
        </w:rPr>
        <w:t>Due diligence scanner — regex extraction from lease PDFs, comparison to rent roll</w:t>
      </w:r>
    </w:p>
    <w:p/>
    <w:p>
      <w:pPr>
        <w:spacing w:before="160" w:after="40"/>
      </w:pPr>
      <w:r>
        <w:rPr>
          <w:rFonts w:ascii="Calibri" w:hAnsi="Calibri"/>
          <w:b/>
          <w:color w:val="2E6DA4"/>
          <w:sz w:val="21"/>
        </w:rPr>
        <w:t>2.2  Areas Assessed</w:t>
      </w:r>
    </w:p>
    <w:p>
      <w:pPr>
        <w:pStyle w:val="ListBullet"/>
        <w:spacing w:before="20" w:after="20"/>
      </w:pPr>
      <w:r>
        <w:rPr>
          <w:rFonts w:ascii="Calibri" w:hAnsi="Calibri"/>
          <w:color w:val="3C3C3C"/>
          <w:sz w:val="20"/>
        </w:rPr>
        <w:t>Financial formula correctness (DSCR, LTV, ICR, GIY, NIY, WAULT, Debt Yield, AfA, Levered IRR)</w:t>
      </w:r>
    </w:p>
    <w:p>
      <w:pPr>
        <w:pStyle w:val="ListBullet"/>
        <w:spacing w:before="20" w:after="20"/>
      </w:pPr>
      <w:r>
        <w:rPr>
          <w:rFonts w:ascii="Calibri" w:hAnsi="Calibri"/>
          <w:color w:val="3C3C3C"/>
          <w:sz w:val="20"/>
        </w:rPr>
        <w:t>Verdict engine logic and QA threshold consistency across all modules</w:t>
      </w:r>
    </w:p>
    <w:p>
      <w:pPr>
        <w:pStyle w:val="ListBullet"/>
        <w:spacing w:before="20" w:after="20"/>
      </w:pPr>
      <w:r>
        <w:rPr>
          <w:rFonts w:ascii="Calibri" w:hAnsi="Calibri"/>
          <w:color w:val="3C3C3C"/>
          <w:sz w:val="20"/>
        </w:rPr>
        <w:t>Cross-module field naming and data contract consistency</w:t>
      </w:r>
    </w:p>
    <w:p>
      <w:pPr>
        <w:pStyle w:val="ListBullet"/>
        <w:spacing w:before="20" w:after="20"/>
      </w:pPr>
      <w:r>
        <w:rPr>
          <w:rFonts w:ascii="Calibri" w:hAnsi="Calibri"/>
          <w:color w:val="3C3C3C"/>
          <w:sz w:val="20"/>
        </w:rPr>
        <w:t>Excel parsing robustness (openpyxl 3-layer fallback, formula cell protection)</w:t>
      </w:r>
    </w:p>
    <w:p>
      <w:pPr>
        <w:pStyle w:val="ListBullet"/>
        <w:spacing w:before="20" w:after="20"/>
      </w:pPr>
      <w:r>
        <w:rPr>
          <w:rFonts w:ascii="Calibri" w:hAnsi="Calibri"/>
          <w:color w:val="3C3C3C"/>
          <w:sz w:val="20"/>
        </w:rPr>
        <w:t>Import dependency resolution and module loading</w:t>
      </w:r>
    </w:p>
    <w:p>
      <w:pPr>
        <w:pStyle w:val="ListBullet"/>
        <w:spacing w:before="20" w:after="20"/>
      </w:pPr>
      <w:r>
        <w:rPr>
          <w:rFonts w:ascii="Calibri" w:hAnsi="Calibri"/>
          <w:color w:val="3C3C3C"/>
          <w:sz w:val="20"/>
        </w:rPr>
        <w:t>Date arithmetic (WAULT remaining years, lease expiry, break options)</w:t>
      </w:r>
    </w:p>
    <w:p>
      <w:pPr>
        <w:pStyle w:val="ListBullet"/>
        <w:spacing w:before="20" w:after="20"/>
      </w:pPr>
      <w:r>
        <w:rPr>
          <w:rFonts w:ascii="Calibri" w:hAnsi="Calibri"/>
          <w:color w:val="3C3C3C"/>
          <w:sz w:val="20"/>
        </w:rPr>
        <w:t>Pandas dtype handling (date vs Timestamp, None vs NaN, numeric coercion)</w:t>
      </w:r>
    </w:p>
    <w:p>
      <w:pPr>
        <w:pStyle w:val="ListBullet"/>
        <w:spacing w:before="20" w:after="20"/>
      </w:pPr>
      <w:r>
        <w:rPr>
          <w:rFonts w:ascii="Calibri" w:hAnsi="Calibri"/>
          <w:color w:val="3C3C3C"/>
          <w:sz w:val="20"/>
        </w:rPr>
        <w:t>Encoding safety for PDF output (Latin-1 constraint in fpdf 1.7.x)</w:t>
      </w:r>
    </w:p>
    <w:p>
      <w:pPr>
        <w:pStyle w:val="ListBullet"/>
        <w:spacing w:before="20" w:after="20"/>
      </w:pPr>
      <w:r>
        <w:rPr>
          <w:rFonts w:ascii="Calibri" w:hAnsi="Calibri"/>
          <w:color w:val="3C3C3C"/>
          <w:sz w:val="20"/>
        </w:rPr>
        <w:t>Division-by-zero and null-reference guards at data boundaries</w:t>
      </w:r>
    </w:p>
    <w:p>
      <w:pPr>
        <w:pStyle w:val="ListBullet"/>
        <w:spacing w:before="20" w:after="20"/>
      </w:pPr>
      <w:r>
        <w:rPr>
          <w:rFonts w:ascii="Calibri" w:hAnsi="Calibri"/>
          <w:color w:val="3C3C3C"/>
          <w:sz w:val="20"/>
        </w:rPr>
        <w:t>Integrity of training materials (practice deal expected verdicts)</w:t>
      </w:r>
    </w:p>
    <w:p>
      <w:pPr>
        <w:spacing w:before="160" w:after="40"/>
      </w:pPr>
      <w:r>
        <w:rPr>
          <w:rFonts w:ascii="Calibri" w:hAnsi="Calibri"/>
          <w:b/>
          <w:color w:val="2E6DA4"/>
          <w:sz w:val="21"/>
        </w:rPr>
        <w:t>2.3  Out of Scope</w:t>
      </w:r>
    </w:p>
    <w:p>
      <w:pPr>
        <w:spacing w:before="0" w:after="120"/>
      </w:pPr>
      <w:r>
        <w:rPr>
          <w:rFonts w:ascii="Calibri" w:hAnsi="Calibri"/>
          <w:color w:val="3C3C3C"/>
          <w:sz w:val="20"/>
        </w:rPr>
        <w:t>Infrastructure security, authentication, secrets management, and deployment configuration were not assessed in this review. Performance benchmarking and load testing were not conducted.</w:t>
      </w:r>
    </w:p>
    <w:p>
      <w:r>
        <w:br w:type="page"/>
      </w:r>
    </w:p>
    <w:p>
      <w:pPr>
        <w:spacing w:before="280" w:after="80"/>
        <w:pBdr>
          <w:bottom w:val="single" w:sz="6" w:color="1A3A5C"/>
        </w:pBdr>
      </w:pPr>
      <w:r>
        <w:rPr>
          <w:rFonts w:ascii="Calibri" w:hAnsi="Calibri"/>
          <w:b/>
          <w:color w:val="1A3A5C"/>
          <w:sz w:val="24"/>
        </w:rPr>
        <w:t>3   SUMMARY OF FINDINGS</w:t>
      </w:r>
    </w:p>
    <w:p>
      <w:pPr>
        <w:spacing w:before="0" w:after="120"/>
      </w:pPr>
      <w:r>
        <w:rPr>
          <w:rFonts w:ascii="Calibri" w:hAnsi="Calibri"/>
          <w:color w:val="3C3C3C"/>
          <w:sz w:val="20"/>
        </w:rPr>
        <w:t>The table below provides a high-level overview of all findings. Detailed descriptions, impact assessments, and recommended fixes are provided in Section 5.</w:t>
      </w:r>
    </w:p>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1568"/>
        <w:gridCol w:w="1568"/>
        <w:gridCol w:w="1568"/>
        <w:gridCol w:w="1568"/>
        <w:gridCol w:w="1568"/>
        <w:gridCol w:w="1568"/>
      </w:tblGrid>
      <w:tr>
        <w:tc>
          <w:tcPr>
            <w:tcW w:type="dxa" w:w="850"/>
            <w:shd w:val="clear" w:color="auto" w:fill="1A3A5C"/>
          </w:tcPr>
          <w:p>
            <w:pPr>
              <w:spacing w:before="80" w:after="80"/>
              <w:jc w:val="center"/>
            </w:pPr>
            <w:r>
              <w:rPr>
                <w:rFonts w:ascii="Calibri" w:hAnsi="Calibri"/>
                <w:b/>
                <w:i w:val="0"/>
                <w:color w:val="FFFFFF"/>
                <w:sz w:val="18"/>
              </w:rPr>
              <w:t>ID</w:t>
            </w:r>
          </w:p>
        </w:tc>
        <w:tc>
          <w:tcPr>
            <w:tcW w:type="dxa" w:w="1587"/>
            <w:shd w:val="clear" w:color="auto" w:fill="1A3A5C"/>
          </w:tcPr>
          <w:p>
            <w:pPr>
              <w:spacing w:before="80" w:after="80"/>
              <w:jc w:val="center"/>
            </w:pPr>
            <w:r>
              <w:rPr>
                <w:rFonts w:ascii="Calibri" w:hAnsi="Calibri"/>
                <w:b/>
                <w:i w:val="0"/>
                <w:color w:val="FFFFFF"/>
                <w:sz w:val="18"/>
              </w:rPr>
              <w:t>File</w:t>
            </w:r>
          </w:p>
        </w:tc>
        <w:tc>
          <w:tcPr>
            <w:tcW w:type="dxa" w:w="2551"/>
            <w:shd w:val="clear" w:color="auto" w:fill="1A3A5C"/>
          </w:tcPr>
          <w:p>
            <w:pPr>
              <w:spacing w:before="80" w:after="80"/>
              <w:jc w:val="center"/>
            </w:pPr>
            <w:r>
              <w:rPr>
                <w:rFonts w:ascii="Calibri" w:hAnsi="Calibri"/>
                <w:b/>
                <w:i w:val="0"/>
                <w:color w:val="FFFFFF"/>
                <w:sz w:val="18"/>
              </w:rPr>
              <w:t>Title</w:t>
            </w:r>
          </w:p>
        </w:tc>
        <w:tc>
          <w:tcPr>
            <w:tcW w:type="dxa" w:w="1417"/>
            <w:shd w:val="clear" w:color="auto" w:fill="1A3A5C"/>
          </w:tcPr>
          <w:p>
            <w:pPr>
              <w:spacing w:before="80" w:after="80"/>
              <w:jc w:val="center"/>
            </w:pPr>
            <w:r>
              <w:rPr>
                <w:rFonts w:ascii="Calibri" w:hAnsi="Calibri"/>
                <w:b/>
                <w:i w:val="0"/>
                <w:color w:val="FFFFFF"/>
                <w:sz w:val="18"/>
              </w:rPr>
              <w:t>Severity</w:t>
            </w:r>
          </w:p>
        </w:tc>
        <w:tc>
          <w:tcPr>
            <w:tcW w:type="dxa" w:w="1417"/>
            <w:shd w:val="clear" w:color="auto" w:fill="1A3A5C"/>
          </w:tcPr>
          <w:p>
            <w:pPr>
              <w:spacing w:before="80" w:after="80"/>
              <w:jc w:val="center"/>
            </w:pPr>
            <w:r>
              <w:rPr>
                <w:rFonts w:ascii="Calibri" w:hAnsi="Calibri"/>
                <w:b/>
                <w:i w:val="0"/>
                <w:color w:val="FFFFFF"/>
                <w:sz w:val="18"/>
              </w:rPr>
              <w:t>Status</w:t>
            </w:r>
          </w:p>
        </w:tc>
        <w:tc>
          <w:tcPr>
            <w:tcW w:type="dxa" w:w="1587"/>
            <w:shd w:val="clear" w:color="auto" w:fill="1A3A5C"/>
          </w:tcPr>
          <w:p>
            <w:pPr>
              <w:spacing w:before="80" w:after="80"/>
              <w:jc w:val="center"/>
            </w:pPr>
            <w:r>
              <w:rPr>
                <w:rFonts w:ascii="Calibri" w:hAnsi="Calibri"/>
                <w:b/>
                <w:i w:val="0"/>
                <w:color w:val="FFFFFF"/>
                <w:sz w:val="18"/>
              </w:rPr>
              <w:t>Owner</w:t>
            </w:r>
          </w:p>
        </w:tc>
      </w:tr>
      <w:tr>
        <w:tc>
          <w:tcPr>
            <w:tcW w:type="dxa" w:w="850"/>
            <w:shd w:val="clear" w:color="auto" w:fill="FFFFFF"/>
          </w:tcPr>
          <w:p>
            <w:pPr>
              <w:spacing w:before="60" w:after="60"/>
              <w:jc w:val="left"/>
            </w:pPr>
            <w:r>
              <w:rPr>
                <w:rFonts w:ascii="Calibri" w:hAnsi="Calibri"/>
                <w:b/>
                <w:i w:val="0"/>
                <w:color w:val="1A3A5C"/>
                <w:sz w:val="18"/>
              </w:rPr>
              <w:t>F-01</w:t>
            </w:r>
          </w:p>
        </w:tc>
        <w:tc>
          <w:tcPr>
            <w:tcW w:type="dxa" w:w="1587"/>
            <w:shd w:val="clear" w:color="auto" w:fill="FFFFFF"/>
          </w:tcPr>
          <w:p>
            <w:pPr>
              <w:spacing w:before="60" w:after="60"/>
              <w:jc w:val="left"/>
            </w:pPr>
            <w:r>
              <w:rPr>
                <w:rFonts w:ascii="Calibri" w:hAnsi="Calibri"/>
                <w:b w:val="0"/>
                <w:i w:val="0"/>
                <w:color w:val="3C3C3C"/>
                <w:sz w:val="18"/>
              </w:rPr>
              <w:t>app 7.py</w:t>
            </w:r>
          </w:p>
        </w:tc>
        <w:tc>
          <w:tcPr>
            <w:tcW w:type="dxa" w:w="2551"/>
            <w:shd w:val="clear" w:color="auto" w:fill="FFFFFF"/>
          </w:tcPr>
          <w:p>
            <w:pPr>
              <w:spacing w:before="60" w:after="60"/>
              <w:jc w:val="left"/>
            </w:pPr>
            <w:r>
              <w:rPr>
                <w:rFonts w:ascii="Calibri" w:hAnsi="Calibri"/>
                <w:b w:val="0"/>
                <w:i w:val="0"/>
                <w:color w:val="3C3C3C"/>
                <w:sz w:val="18"/>
              </w:rPr>
              <w:t>ModuleNotFoundError on dd_scanner import</w:t>
            </w:r>
          </w:p>
        </w:tc>
        <w:tc>
          <w:tcPr>
            <w:tcW w:type="dxa" w:w="1417"/>
            <w:shd w:val="clear" w:color="auto" w:fill="C0392B"/>
          </w:tcPr>
          <w:p>
            <w:pPr>
              <w:spacing w:before="60" w:after="60"/>
              <w:jc w:val="center"/>
            </w:pPr>
            <w:r>
              <w:rPr>
                <w:rFonts w:ascii="Calibri" w:hAnsi="Calibri"/>
                <w:b/>
                <w:i w:val="0"/>
                <w:color w:val="FFFFFF"/>
                <w:sz w:val="18"/>
              </w:rPr>
              <w:t>Critical</w:t>
            </w:r>
          </w:p>
        </w:tc>
        <w:tc>
          <w:tcPr>
            <w:tcW w:type="dxa" w:w="1417"/>
            <w:shd w:val="clear" w:color="auto" w:fill="D5F5E3"/>
          </w:tcPr>
          <w:p>
            <w:pPr>
              <w:spacing w:before="60" w:after="60"/>
              <w:jc w:val="center"/>
            </w:pPr>
            <w:r>
              <w:rPr>
                <w:rFonts w:ascii="Calibri" w:hAnsi="Calibri"/>
                <w:b/>
                <w:i w:val="0"/>
                <w:color w:val="1E7E4E"/>
                <w:sz w:val="18"/>
              </w:rPr>
              <w:t>Resolved</w:t>
            </w:r>
          </w:p>
        </w:tc>
        <w:tc>
          <w:tcPr>
            <w:tcW w:type="dxa" w:w="1587"/>
            <w:shd w:val="clear" w:color="auto" w:fill="FFFFFF"/>
          </w:tcPr>
          <w:p>
            <w:pPr>
              <w:spacing w:before="60" w:after="60"/>
              <w:jc w:val="left"/>
            </w:pPr>
            <w:r>
              <w:rPr>
                <w:rFonts w:ascii="Calibri" w:hAnsi="Calibri"/>
                <w:b w:val="0"/>
                <w:i w:val="0"/>
                <w:color w:val="3C3C3C"/>
                <w:sz w:val="18"/>
              </w:rPr>
              <w:t>Dev Team</w:t>
            </w:r>
          </w:p>
        </w:tc>
      </w:tr>
      <w:tr>
        <w:tc>
          <w:tcPr>
            <w:tcW w:type="dxa" w:w="850"/>
            <w:shd w:val="clear" w:color="auto" w:fill="F7F9FC"/>
          </w:tcPr>
          <w:p>
            <w:pPr>
              <w:spacing w:before="60" w:after="60"/>
              <w:jc w:val="left"/>
            </w:pPr>
            <w:r>
              <w:rPr>
                <w:rFonts w:ascii="Calibri" w:hAnsi="Calibri"/>
                <w:b/>
                <w:i w:val="0"/>
                <w:color w:val="1A3A5C"/>
                <w:sz w:val="18"/>
              </w:rPr>
              <w:t>F-02</w:t>
            </w:r>
          </w:p>
        </w:tc>
        <w:tc>
          <w:tcPr>
            <w:tcW w:type="dxa" w:w="1587"/>
            <w:shd w:val="clear" w:color="auto" w:fill="F7F9FC"/>
          </w:tcPr>
          <w:p>
            <w:pPr>
              <w:spacing w:before="60" w:after="60"/>
              <w:jc w:val="left"/>
            </w:pPr>
            <w:r>
              <w:rPr>
                <w:rFonts w:ascii="Calibri" w:hAnsi="Calibri"/>
                <w:b w:val="0"/>
                <w:i w:val="0"/>
                <w:color w:val="3C3C3C"/>
                <w:sz w:val="18"/>
              </w:rPr>
              <w:t>deal_simulator.py</w:t>
            </w:r>
          </w:p>
        </w:tc>
        <w:tc>
          <w:tcPr>
            <w:tcW w:type="dxa" w:w="2551"/>
            <w:shd w:val="clear" w:color="auto" w:fill="F7F9FC"/>
          </w:tcPr>
          <w:p>
            <w:pPr>
              <w:spacing w:before="60" w:after="60"/>
              <w:jc w:val="left"/>
            </w:pPr>
            <w:r>
              <w:rPr>
                <w:rFonts w:ascii="Calibri" w:hAnsi="Calibri"/>
                <w:b w:val="0"/>
                <w:i w:val="0"/>
                <w:color w:val="3C3C3C"/>
                <w:sz w:val="18"/>
              </w:rPr>
              <w:t>loan_term / loan_term_yrs key mismatch (silent wrong default)</w:t>
            </w:r>
          </w:p>
        </w:tc>
        <w:tc>
          <w:tcPr>
            <w:tcW w:type="dxa" w:w="1417"/>
            <w:shd w:val="clear" w:color="auto" w:fill="C0392B"/>
          </w:tcPr>
          <w:p>
            <w:pPr>
              <w:spacing w:before="60" w:after="60"/>
              <w:jc w:val="center"/>
            </w:pPr>
            <w:r>
              <w:rPr>
                <w:rFonts w:ascii="Calibri" w:hAnsi="Calibri"/>
                <w:b/>
                <w:i w:val="0"/>
                <w:color w:val="FFFFFF"/>
                <w:sz w:val="18"/>
              </w:rPr>
              <w:t>Critical</w:t>
            </w:r>
          </w:p>
        </w:tc>
        <w:tc>
          <w:tcPr>
            <w:tcW w:type="dxa" w:w="1417"/>
            <w:shd w:val="clear" w:color="auto" w:fill="D5F5E3"/>
          </w:tcPr>
          <w:p>
            <w:pPr>
              <w:spacing w:before="60" w:after="60"/>
              <w:jc w:val="center"/>
            </w:pPr>
            <w:r>
              <w:rPr>
                <w:rFonts w:ascii="Calibri" w:hAnsi="Calibri"/>
                <w:b/>
                <w:i w:val="0"/>
                <w:color w:val="1E7E4E"/>
                <w:sz w:val="18"/>
              </w:rPr>
              <w:t>Resolved</w:t>
            </w:r>
          </w:p>
        </w:tc>
        <w:tc>
          <w:tcPr>
            <w:tcW w:type="dxa" w:w="1587"/>
            <w:shd w:val="clear" w:color="auto" w:fill="F7F9FC"/>
          </w:tcPr>
          <w:p>
            <w:pPr>
              <w:spacing w:before="60" w:after="60"/>
              <w:jc w:val="left"/>
            </w:pPr>
            <w:r>
              <w:rPr>
                <w:rFonts w:ascii="Calibri" w:hAnsi="Calibri"/>
                <w:b w:val="0"/>
                <w:i w:val="0"/>
                <w:color w:val="3C3C3C"/>
                <w:sz w:val="18"/>
              </w:rPr>
              <w:t>Dev Team</w:t>
            </w:r>
          </w:p>
        </w:tc>
      </w:tr>
      <w:tr>
        <w:tc>
          <w:tcPr>
            <w:tcW w:type="dxa" w:w="850"/>
            <w:shd w:val="clear" w:color="auto" w:fill="FFFFFF"/>
          </w:tcPr>
          <w:p>
            <w:pPr>
              <w:spacing w:before="60" w:after="60"/>
              <w:jc w:val="left"/>
            </w:pPr>
            <w:r>
              <w:rPr>
                <w:rFonts w:ascii="Calibri" w:hAnsi="Calibri"/>
                <w:b/>
                <w:i w:val="0"/>
                <w:color w:val="1A3A5C"/>
                <w:sz w:val="18"/>
              </w:rPr>
              <w:t>F-03</w:t>
            </w:r>
          </w:p>
        </w:tc>
        <w:tc>
          <w:tcPr>
            <w:tcW w:type="dxa" w:w="1587"/>
            <w:shd w:val="clear" w:color="auto" w:fill="FFFFFF"/>
          </w:tcPr>
          <w:p>
            <w:pPr>
              <w:spacing w:before="60" w:after="60"/>
              <w:jc w:val="left"/>
            </w:pPr>
            <w:r>
              <w:rPr>
                <w:rFonts w:ascii="Calibri" w:hAnsi="Calibri"/>
                <w:b w:val="0"/>
                <w:i w:val="0"/>
                <w:color w:val="3C3C3C"/>
                <w:sz w:val="18"/>
              </w:rPr>
              <w:t>rent_roll_parser.py</w:t>
            </w:r>
          </w:p>
        </w:tc>
        <w:tc>
          <w:tcPr>
            <w:tcW w:type="dxa" w:w="2551"/>
            <w:shd w:val="clear" w:color="auto" w:fill="FFFFFF"/>
          </w:tcPr>
          <w:p>
            <w:pPr>
              <w:spacing w:before="60" w:after="60"/>
              <w:jc w:val="left"/>
            </w:pPr>
            <w:r>
              <w:rPr>
                <w:rFonts w:ascii="Calibri" w:hAnsi="Calibri"/>
                <w:b w:val="0"/>
                <w:i w:val="0"/>
                <w:color w:val="3C3C3C"/>
                <w:sz w:val="18"/>
              </w:rPr>
              <w:t>CPI passthrough normalisation boundary error</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FFFFF"/>
          </w:tcPr>
          <w:p>
            <w:pPr>
              <w:spacing w:before="60" w:after="60"/>
              <w:jc w:val="left"/>
            </w:pPr>
            <w:r>
              <w:rPr>
                <w:rFonts w:ascii="Calibri" w:hAnsi="Calibri"/>
                <w:b w:val="0"/>
                <w:i w:val="0"/>
                <w:color w:val="3C3C3C"/>
                <w:sz w:val="18"/>
              </w:rPr>
              <w:t>Dev Team</w:t>
            </w:r>
          </w:p>
        </w:tc>
      </w:tr>
      <w:tr>
        <w:tc>
          <w:tcPr>
            <w:tcW w:type="dxa" w:w="850"/>
            <w:shd w:val="clear" w:color="auto" w:fill="F7F9FC"/>
          </w:tcPr>
          <w:p>
            <w:pPr>
              <w:spacing w:before="60" w:after="60"/>
              <w:jc w:val="left"/>
            </w:pPr>
            <w:r>
              <w:rPr>
                <w:rFonts w:ascii="Calibri" w:hAnsi="Calibri"/>
                <w:b/>
                <w:i w:val="0"/>
                <w:color w:val="1A3A5C"/>
                <w:sz w:val="18"/>
              </w:rPr>
              <w:t>F-04</w:t>
            </w:r>
          </w:p>
        </w:tc>
        <w:tc>
          <w:tcPr>
            <w:tcW w:type="dxa" w:w="1587"/>
            <w:shd w:val="clear" w:color="auto" w:fill="F7F9FC"/>
          </w:tcPr>
          <w:p>
            <w:pPr>
              <w:spacing w:before="60" w:after="60"/>
              <w:jc w:val="left"/>
            </w:pPr>
            <w:r>
              <w:rPr>
                <w:rFonts w:ascii="Calibri" w:hAnsi="Calibri"/>
                <w:b w:val="0"/>
                <w:i w:val="0"/>
                <w:color w:val="3C3C3C"/>
                <w:sz w:val="18"/>
              </w:rPr>
              <w:t>deal_converter 8.py</w:t>
            </w:r>
          </w:p>
        </w:tc>
        <w:tc>
          <w:tcPr>
            <w:tcW w:type="dxa" w:w="2551"/>
            <w:shd w:val="clear" w:color="auto" w:fill="F7F9FC"/>
          </w:tcPr>
          <w:p>
            <w:pPr>
              <w:spacing w:before="60" w:after="60"/>
              <w:jc w:val="left"/>
            </w:pPr>
            <w:r>
              <w:rPr>
                <w:rFonts w:ascii="Calibri" w:hAnsi="Calibri"/>
                <w:b w:val="0"/>
                <w:i w:val="0"/>
                <w:color w:val="3C3C3C"/>
                <w:sz w:val="18"/>
              </w:rPr>
              <w:t>ZeroDivisionError on vacant unit rent back-calculation</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7F9FC"/>
          </w:tcPr>
          <w:p>
            <w:pPr>
              <w:spacing w:before="60" w:after="60"/>
              <w:jc w:val="left"/>
            </w:pPr>
            <w:r>
              <w:rPr>
                <w:rFonts w:ascii="Calibri" w:hAnsi="Calibri"/>
                <w:b w:val="0"/>
                <w:i w:val="0"/>
                <w:color w:val="3C3C3C"/>
                <w:sz w:val="18"/>
              </w:rPr>
              <w:t>Dev Team</w:t>
            </w:r>
          </w:p>
        </w:tc>
      </w:tr>
      <w:tr>
        <w:tc>
          <w:tcPr>
            <w:tcW w:type="dxa" w:w="850"/>
            <w:shd w:val="clear" w:color="auto" w:fill="FFFFFF"/>
          </w:tcPr>
          <w:p>
            <w:pPr>
              <w:spacing w:before="60" w:after="60"/>
              <w:jc w:val="left"/>
            </w:pPr>
            <w:r>
              <w:rPr>
                <w:rFonts w:ascii="Calibri" w:hAnsi="Calibri"/>
                <w:b/>
                <w:i w:val="0"/>
                <w:color w:val="1A3A5C"/>
                <w:sz w:val="18"/>
              </w:rPr>
              <w:t>F-05</w:t>
            </w:r>
          </w:p>
        </w:tc>
        <w:tc>
          <w:tcPr>
            <w:tcW w:type="dxa" w:w="1587"/>
            <w:shd w:val="clear" w:color="auto" w:fill="FFFFFF"/>
          </w:tcPr>
          <w:p>
            <w:pPr>
              <w:spacing w:before="60" w:after="60"/>
              <w:jc w:val="left"/>
            </w:pPr>
            <w:r>
              <w:rPr>
                <w:rFonts w:ascii="Calibri" w:hAnsi="Calibri"/>
                <w:b w:val="0"/>
                <w:i w:val="0"/>
                <w:color w:val="3C3C3C"/>
                <w:sz w:val="18"/>
              </w:rPr>
              <w:t>dd_scanner 7.py</w:t>
            </w:r>
          </w:p>
        </w:tc>
        <w:tc>
          <w:tcPr>
            <w:tcW w:type="dxa" w:w="2551"/>
            <w:shd w:val="clear" w:color="auto" w:fill="FFFFFF"/>
          </w:tcPr>
          <w:p>
            <w:pPr>
              <w:spacing w:before="60" w:after="60"/>
              <w:jc w:val="left"/>
            </w:pPr>
            <w:r>
              <w:rPr>
                <w:rFonts w:ascii="Calibri" w:hAnsi="Calibri"/>
                <w:b w:val="0"/>
                <w:i w:val="0"/>
                <w:color w:val="3C3C3C"/>
                <w:sz w:val="18"/>
              </w:rPr>
              <w:t>CPI passthrough decimal/percentage format not detected</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FFFFF"/>
          </w:tcPr>
          <w:p>
            <w:pPr>
              <w:spacing w:before="60" w:after="60"/>
              <w:jc w:val="left"/>
            </w:pPr>
            <w:r>
              <w:rPr>
                <w:rFonts w:ascii="Calibri" w:hAnsi="Calibri"/>
                <w:b w:val="0"/>
                <w:i w:val="0"/>
                <w:color w:val="3C3C3C"/>
                <w:sz w:val="18"/>
              </w:rPr>
              <w:t>Dev Team</w:t>
            </w:r>
          </w:p>
        </w:tc>
      </w:tr>
      <w:tr>
        <w:tc>
          <w:tcPr>
            <w:tcW w:type="dxa" w:w="850"/>
            <w:shd w:val="clear" w:color="auto" w:fill="F7F9FC"/>
          </w:tcPr>
          <w:p>
            <w:pPr>
              <w:spacing w:before="60" w:after="60"/>
              <w:jc w:val="left"/>
            </w:pPr>
            <w:r>
              <w:rPr>
                <w:rFonts w:ascii="Calibri" w:hAnsi="Calibri"/>
                <w:b/>
                <w:i w:val="0"/>
                <w:color w:val="1A3A5C"/>
                <w:sz w:val="18"/>
              </w:rPr>
              <w:t>F-06</w:t>
            </w:r>
          </w:p>
        </w:tc>
        <w:tc>
          <w:tcPr>
            <w:tcW w:type="dxa" w:w="1587"/>
            <w:shd w:val="clear" w:color="auto" w:fill="F7F9FC"/>
          </w:tcPr>
          <w:p>
            <w:pPr>
              <w:spacing w:before="60" w:after="60"/>
              <w:jc w:val="left"/>
            </w:pPr>
            <w:r>
              <w:rPr>
                <w:rFonts w:ascii="Calibri" w:hAnsi="Calibri"/>
                <w:b w:val="0"/>
                <w:i w:val="0"/>
                <w:color w:val="3C3C3C"/>
                <w:sz w:val="18"/>
              </w:rPr>
              <w:t>intake_deal.py</w:t>
            </w:r>
          </w:p>
        </w:tc>
        <w:tc>
          <w:tcPr>
            <w:tcW w:type="dxa" w:w="2551"/>
            <w:shd w:val="clear" w:color="auto" w:fill="F7F9FC"/>
          </w:tcPr>
          <w:p>
            <w:pPr>
              <w:spacing w:before="60" w:after="60"/>
              <w:jc w:val="left"/>
            </w:pPr>
            <w:r>
              <w:rPr>
                <w:rFonts w:ascii="Calibri" w:hAnsi="Calibri"/>
                <w:b w:val="0"/>
                <w:i w:val="0"/>
                <w:color w:val="3C3C3C"/>
                <w:sz w:val="18"/>
              </w:rPr>
              <w:t>GrESt auto-detection uses substring match (false-positive risk)</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7F9FC"/>
          </w:tcPr>
          <w:p>
            <w:pPr>
              <w:spacing w:before="60" w:after="60"/>
              <w:jc w:val="left"/>
            </w:pPr>
            <w:r>
              <w:rPr>
                <w:rFonts w:ascii="Calibri" w:hAnsi="Calibri"/>
                <w:b w:val="0"/>
                <w:i w:val="0"/>
                <w:color w:val="3C3C3C"/>
                <w:sz w:val="18"/>
              </w:rPr>
              <w:t>Dev Team</w:t>
            </w:r>
          </w:p>
        </w:tc>
      </w:tr>
      <w:tr>
        <w:tc>
          <w:tcPr>
            <w:tcW w:type="dxa" w:w="850"/>
            <w:shd w:val="clear" w:color="auto" w:fill="FFFFFF"/>
          </w:tcPr>
          <w:p>
            <w:pPr>
              <w:spacing w:before="60" w:after="60"/>
              <w:jc w:val="left"/>
            </w:pPr>
            <w:r>
              <w:rPr>
                <w:rFonts w:ascii="Calibri" w:hAnsi="Calibri"/>
                <w:b/>
                <w:i w:val="0"/>
                <w:color w:val="1A3A5C"/>
                <w:sz w:val="18"/>
              </w:rPr>
              <w:t>F-07</w:t>
            </w:r>
          </w:p>
        </w:tc>
        <w:tc>
          <w:tcPr>
            <w:tcW w:type="dxa" w:w="1587"/>
            <w:shd w:val="clear" w:color="auto" w:fill="FFFFFF"/>
          </w:tcPr>
          <w:p>
            <w:pPr>
              <w:spacing w:before="60" w:after="60"/>
              <w:jc w:val="left"/>
            </w:pPr>
            <w:r>
              <w:rPr>
                <w:rFonts w:ascii="Calibri" w:hAnsi="Calibri"/>
                <w:b w:val="0"/>
                <w:i w:val="0"/>
                <w:color w:val="3C3C3C"/>
                <w:sz w:val="18"/>
              </w:rPr>
              <w:t>Multiple files</w:t>
            </w:r>
          </w:p>
        </w:tc>
        <w:tc>
          <w:tcPr>
            <w:tcW w:type="dxa" w:w="2551"/>
            <w:shd w:val="clear" w:color="auto" w:fill="FFFFFF"/>
          </w:tcPr>
          <w:p>
            <w:pPr>
              <w:spacing w:before="60" w:after="60"/>
              <w:jc w:val="left"/>
            </w:pPr>
            <w:r>
              <w:rPr>
                <w:rFonts w:ascii="Calibri" w:hAnsi="Calibri"/>
                <w:b w:val="0"/>
                <w:i w:val="0"/>
                <w:color w:val="3C3C3C"/>
                <w:sz w:val="18"/>
              </w:rPr>
              <w:t>GrESt lookup table duplicated across three modules</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FFFFF"/>
          </w:tcPr>
          <w:p>
            <w:pPr>
              <w:spacing w:before="60" w:after="60"/>
              <w:jc w:val="left"/>
            </w:pPr>
            <w:r>
              <w:rPr>
                <w:rFonts w:ascii="Calibri" w:hAnsi="Calibri"/>
                <w:b w:val="0"/>
                <w:i w:val="0"/>
                <w:color w:val="3C3C3C"/>
                <w:sz w:val="18"/>
              </w:rPr>
              <w:t>Dev Team</w:t>
            </w:r>
          </w:p>
        </w:tc>
      </w:tr>
      <w:tr>
        <w:tc>
          <w:tcPr>
            <w:tcW w:type="dxa" w:w="850"/>
            <w:shd w:val="clear" w:color="auto" w:fill="F7F9FC"/>
          </w:tcPr>
          <w:p>
            <w:pPr>
              <w:spacing w:before="60" w:after="60"/>
              <w:jc w:val="left"/>
            </w:pPr>
            <w:r>
              <w:rPr>
                <w:rFonts w:ascii="Calibri" w:hAnsi="Calibri"/>
                <w:b/>
                <w:i w:val="0"/>
                <w:color w:val="1A3A5C"/>
                <w:sz w:val="18"/>
              </w:rPr>
              <w:t>F-08</w:t>
            </w:r>
          </w:p>
        </w:tc>
        <w:tc>
          <w:tcPr>
            <w:tcW w:type="dxa" w:w="1587"/>
            <w:shd w:val="clear" w:color="auto" w:fill="F7F9FC"/>
          </w:tcPr>
          <w:p>
            <w:pPr>
              <w:spacing w:before="60" w:after="60"/>
              <w:jc w:val="left"/>
            </w:pPr>
            <w:r>
              <w:rPr>
                <w:rFonts w:ascii="Calibri" w:hAnsi="Calibri"/>
                <w:b w:val="0"/>
                <w:i w:val="0"/>
                <w:color w:val="3C3C3C"/>
                <w:sz w:val="18"/>
              </w:rPr>
              <w:t>app 7.py</w:t>
            </w:r>
          </w:p>
        </w:tc>
        <w:tc>
          <w:tcPr>
            <w:tcW w:type="dxa" w:w="2551"/>
            <w:shd w:val="clear" w:color="auto" w:fill="F7F9FC"/>
          </w:tcPr>
          <w:p>
            <w:pPr>
              <w:spacing w:before="60" w:after="60"/>
              <w:jc w:val="left"/>
            </w:pPr>
            <w:r>
              <w:rPr>
                <w:rFonts w:ascii="Calibri" w:hAnsi="Calibri"/>
                <w:b w:val="0"/>
                <w:i w:val="0"/>
                <w:color w:val="3C3C3C"/>
                <w:sz w:val="18"/>
              </w:rPr>
              <w:t>IRR heatmap cap is silent — no user-visible indicator</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7F9FC"/>
          </w:tcPr>
          <w:p>
            <w:pPr>
              <w:spacing w:before="60" w:after="60"/>
              <w:jc w:val="left"/>
            </w:pPr>
            <w:r>
              <w:rPr>
                <w:rFonts w:ascii="Calibri" w:hAnsi="Calibri"/>
                <w:b w:val="0"/>
                <w:i w:val="0"/>
                <w:color w:val="3C3C3C"/>
                <w:sz w:val="18"/>
              </w:rPr>
              <w:t>Dev Team</w:t>
            </w:r>
          </w:p>
        </w:tc>
      </w:tr>
      <w:tr>
        <w:tc>
          <w:tcPr>
            <w:tcW w:type="dxa" w:w="850"/>
            <w:shd w:val="clear" w:color="auto" w:fill="FFFFFF"/>
          </w:tcPr>
          <w:p>
            <w:pPr>
              <w:spacing w:before="60" w:after="60"/>
              <w:jc w:val="left"/>
            </w:pPr>
            <w:r>
              <w:rPr>
                <w:rFonts w:ascii="Calibri" w:hAnsi="Calibri"/>
                <w:b/>
                <w:i w:val="0"/>
                <w:color w:val="1A3A5C"/>
                <w:sz w:val="18"/>
              </w:rPr>
              <w:t>F-09</w:t>
            </w:r>
          </w:p>
        </w:tc>
        <w:tc>
          <w:tcPr>
            <w:tcW w:type="dxa" w:w="1587"/>
            <w:shd w:val="clear" w:color="auto" w:fill="FFFFFF"/>
          </w:tcPr>
          <w:p>
            <w:pPr>
              <w:spacing w:before="60" w:after="60"/>
              <w:jc w:val="left"/>
            </w:pPr>
            <w:r>
              <w:rPr>
                <w:rFonts w:ascii="Calibri" w:hAnsi="Calibri"/>
                <w:b w:val="0"/>
                <w:i w:val="0"/>
                <w:color w:val="3C3C3C"/>
                <w:sz w:val="18"/>
              </w:rPr>
              <w:t>practice_deals7.py</w:t>
            </w:r>
          </w:p>
        </w:tc>
        <w:tc>
          <w:tcPr>
            <w:tcW w:type="dxa" w:w="2551"/>
            <w:shd w:val="clear" w:color="auto" w:fill="FFFFFF"/>
          </w:tcPr>
          <w:p>
            <w:pPr>
              <w:spacing w:before="60" w:after="60"/>
              <w:jc w:val="left"/>
            </w:pPr>
            <w:r>
              <w:rPr>
                <w:rFonts w:ascii="Calibri" w:hAnsi="Calibri"/>
                <w:b w:val="0"/>
                <w:i w:val="0"/>
                <w:color w:val="3C3C3C"/>
                <w:sz w:val="18"/>
              </w:rPr>
              <w:t>Deal 1 teaching notes state incorrect anchor concentration</w:t>
            </w:r>
          </w:p>
        </w:tc>
        <w:tc>
          <w:tcPr>
            <w:tcW w:type="dxa" w:w="1417"/>
            <w:shd w:val="clear" w:color="auto" w:fill="D47A00"/>
          </w:tcPr>
          <w:p>
            <w:pPr>
              <w:spacing w:before="60" w:after="60"/>
              <w:jc w:val="center"/>
            </w:pPr>
            <w:r>
              <w:rPr>
                <w:rFonts w:ascii="Calibri" w:hAnsi="Calibri"/>
                <w:b/>
                <w:i w:val="0"/>
                <w:color w:val="FFFFFF"/>
                <w:sz w:val="18"/>
              </w:rPr>
              <w:t>Warning</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FFFFF"/>
          </w:tcPr>
          <w:p>
            <w:pPr>
              <w:spacing w:before="60" w:after="60"/>
              <w:jc w:val="left"/>
            </w:pPr>
            <w:r>
              <w:rPr>
                <w:rFonts w:ascii="Calibri" w:hAnsi="Calibri"/>
                <w:b w:val="0"/>
                <w:i w:val="0"/>
                <w:color w:val="3C3C3C"/>
                <w:sz w:val="18"/>
              </w:rPr>
              <w:t>Dev Team</w:t>
            </w:r>
          </w:p>
        </w:tc>
      </w:tr>
      <w:tr>
        <w:tc>
          <w:tcPr>
            <w:tcW w:type="dxa" w:w="850"/>
            <w:shd w:val="clear" w:color="auto" w:fill="F7F9FC"/>
          </w:tcPr>
          <w:p>
            <w:pPr>
              <w:spacing w:before="60" w:after="60"/>
              <w:jc w:val="left"/>
            </w:pPr>
            <w:r>
              <w:rPr>
                <w:rFonts w:ascii="Calibri" w:hAnsi="Calibri"/>
                <w:b/>
                <w:i w:val="0"/>
                <w:color w:val="1A3A5C"/>
                <w:sz w:val="18"/>
              </w:rPr>
              <w:t>F-10</w:t>
            </w:r>
          </w:p>
        </w:tc>
        <w:tc>
          <w:tcPr>
            <w:tcW w:type="dxa" w:w="1587"/>
            <w:shd w:val="clear" w:color="auto" w:fill="F7F9FC"/>
          </w:tcPr>
          <w:p>
            <w:pPr>
              <w:spacing w:before="60" w:after="60"/>
              <w:jc w:val="left"/>
            </w:pPr>
            <w:r>
              <w:rPr>
                <w:rFonts w:ascii="Calibri" w:hAnsi="Calibri"/>
                <w:b w:val="0"/>
                <w:i w:val="0"/>
                <w:color w:val="3C3C3C"/>
                <w:sz w:val="18"/>
              </w:rPr>
              <w:t>deal_simulator.py / practice_deals7.py</w:t>
            </w:r>
          </w:p>
        </w:tc>
        <w:tc>
          <w:tcPr>
            <w:tcW w:type="dxa" w:w="2551"/>
            <w:shd w:val="clear" w:color="auto" w:fill="F7F9FC"/>
          </w:tcPr>
          <w:p>
            <w:pPr>
              <w:spacing w:before="60" w:after="60"/>
              <w:jc w:val="left"/>
            </w:pPr>
            <w:r>
              <w:rPr>
                <w:rFonts w:ascii="Calibri" w:hAnsi="Calibri"/>
                <w:b w:val="0"/>
                <w:i w:val="0"/>
                <w:color w:val="3C3C3C"/>
                <w:sz w:val="18"/>
              </w:rPr>
              <w:t>No automated test validates expected_verdict fields</w:t>
            </w:r>
          </w:p>
        </w:tc>
        <w:tc>
          <w:tcPr>
            <w:tcW w:type="dxa" w:w="1417"/>
            <w:shd w:val="clear" w:color="auto" w:fill="1E7E4E"/>
          </w:tcPr>
          <w:p>
            <w:pPr>
              <w:spacing w:before="60" w:after="60"/>
              <w:jc w:val="center"/>
            </w:pPr>
            <w:r>
              <w:rPr>
                <w:rFonts w:ascii="Calibri" w:hAnsi="Calibri"/>
                <w:b/>
                <w:i w:val="0"/>
                <w:color w:val="FFFFFF"/>
                <w:sz w:val="18"/>
              </w:rPr>
              <w:t>Minor</w:t>
            </w:r>
          </w:p>
        </w:tc>
        <w:tc>
          <w:tcPr>
            <w:tcW w:type="dxa" w:w="1417"/>
            <w:shd w:val="clear" w:color="auto" w:fill="FEF9E7"/>
          </w:tcPr>
          <w:p>
            <w:pPr>
              <w:spacing w:before="60" w:after="60"/>
              <w:jc w:val="center"/>
            </w:pPr>
            <w:r>
              <w:rPr>
                <w:rFonts w:ascii="Calibri" w:hAnsi="Calibri"/>
                <w:b w:val="0"/>
                <w:i w:val="0"/>
                <w:color w:val="D47A00"/>
                <w:sz w:val="18"/>
              </w:rPr>
              <w:t>Open</w:t>
            </w:r>
          </w:p>
        </w:tc>
        <w:tc>
          <w:tcPr>
            <w:tcW w:type="dxa" w:w="1587"/>
            <w:shd w:val="clear" w:color="auto" w:fill="F7F9FC"/>
          </w:tcPr>
          <w:p>
            <w:pPr>
              <w:spacing w:before="60" w:after="60"/>
              <w:jc w:val="left"/>
            </w:pPr>
            <w:r>
              <w:rPr>
                <w:rFonts w:ascii="Calibri" w:hAnsi="Calibri"/>
                <w:b w:val="0"/>
                <w:i w:val="0"/>
                <w:color w:val="3C3C3C"/>
                <w:sz w:val="18"/>
              </w:rPr>
              <w:t>Dev Team</w:t>
            </w:r>
          </w:p>
        </w:tc>
      </w:tr>
    </w:tbl>
    <w:p>
      <w:r>
        <w:br w:type="page"/>
      </w:r>
    </w:p>
    <w:p>
      <w:pPr>
        <w:spacing w:before="280" w:after="80"/>
        <w:pBdr>
          <w:bottom w:val="single" w:sz="6" w:color="1A3A5C"/>
        </w:pBdr>
      </w:pPr>
      <w:r>
        <w:rPr>
          <w:rFonts w:ascii="Calibri" w:hAnsi="Calibri"/>
          <w:b/>
          <w:color w:val="1A3A5C"/>
          <w:sz w:val="24"/>
        </w:rPr>
        <w:t>4   FINDINGS REGISTER</w:t>
      </w:r>
    </w:p>
    <w:p>
      <w:pPr>
        <w:spacing w:before="0" w:after="120"/>
      </w:pPr>
      <w:r>
        <w:rPr>
          <w:rFonts w:ascii="Calibri" w:hAnsi="Calibri"/>
          <w:color w:val="3C3C3C"/>
          <w:sz w:val="20"/>
        </w:rPr>
        <w:t>Each finding is presented with its unique identifier, affected file, severity rating, full description, business impact, and recommended remediation. Findings marked Resolved have been fixed and smoke-tested within this audit cycle.</w:t>
      </w: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F-01</w:t>
            </w:r>
          </w:p>
        </w:tc>
        <w:tc>
          <w:tcPr>
            <w:tcW w:type="dxa" w:w="6690"/>
            <w:shd w:val="clear" w:color="auto" w:fill="2E6DA4"/>
          </w:tcPr>
          <w:p>
            <w:pPr>
              <w:spacing w:before="100" w:after="100"/>
            </w:pPr>
            <w:r>
              <w:rPr>
                <w:rFonts w:ascii="Calibri" w:hAnsi="Calibri"/>
                <w:b/>
                <w:i w:val="0"/>
                <w:color w:val="FFFFFF"/>
                <w:sz w:val="21"/>
              </w:rPr>
              <w:t>ModuleNotFoundError on dd_scanner import</w:t>
            </w:r>
          </w:p>
        </w:tc>
        <w:tc>
          <w:tcPr>
            <w:tcW w:type="dxa" w:w="1701"/>
            <w:shd w:val="clear" w:color="auto" w:fill="C0392B"/>
          </w:tcPr>
          <w:p>
            <w:pPr>
              <w:spacing w:before="100" w:after="100"/>
              <w:jc w:val="center"/>
            </w:pPr>
            <w:r>
              <w:rPr>
                <w:rFonts w:ascii="Calibri" w:hAnsi="Calibri"/>
                <w:b/>
                <w:i w:val="0"/>
                <w:color w:val="FFFFFF"/>
                <w:sz w:val="18"/>
              </w:rPr>
              <w:t>CRITICAL</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app 7.py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i w:val="0"/>
                <w:color w:val="1E7E4E"/>
                <w:sz w:val="19"/>
              </w:rPr>
              <w:t>Resolved</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Line 25 contained `from dd_scanner import ...`. The scanner module is stored on disk as 'dd_scanner 7.py' (space in filename), which Python cannot resolve via a bare import statement. Any user navigating to the DD Scanner tab would receive an unhandled ImportError, crashing the entire Streamlit session.</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Application crash; DD Scanner tab completely non-functional.</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Replaced bare import with an importlib.util.spec_from_file_location() block that loads the module by absolute file path and binds extract_lease_terms and run_dd_scan into the app namespace. Verified via smoke test.</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F-02</w:t>
            </w:r>
          </w:p>
        </w:tc>
        <w:tc>
          <w:tcPr>
            <w:tcW w:type="dxa" w:w="6690"/>
            <w:shd w:val="clear" w:color="auto" w:fill="2E6DA4"/>
          </w:tcPr>
          <w:p>
            <w:pPr>
              <w:spacing w:before="100" w:after="100"/>
            </w:pPr>
            <w:r>
              <w:rPr>
                <w:rFonts w:ascii="Calibri" w:hAnsi="Calibri"/>
                <w:b/>
                <w:i w:val="0"/>
                <w:color w:val="FFFFFF"/>
                <w:sz w:val="21"/>
              </w:rPr>
              <w:t>loan_term / loan_term_yrs key mismatch (silent wrong default)</w:t>
            </w:r>
          </w:p>
        </w:tc>
        <w:tc>
          <w:tcPr>
            <w:tcW w:type="dxa" w:w="1701"/>
            <w:shd w:val="clear" w:color="auto" w:fill="C0392B"/>
          </w:tcPr>
          <w:p>
            <w:pPr>
              <w:spacing w:before="100" w:after="100"/>
              <w:jc w:val="center"/>
            </w:pPr>
            <w:r>
              <w:rPr>
                <w:rFonts w:ascii="Calibri" w:hAnsi="Calibri"/>
                <w:b/>
                <w:i w:val="0"/>
                <w:color w:val="FFFFFF"/>
                <w:sz w:val="18"/>
              </w:rPr>
              <w:t>CRITICAL</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deal_simulator.py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i w:val="0"/>
                <w:color w:val="1E7E4E"/>
                <w:sz w:val="19"/>
              </w:rPr>
              <w:t>Resolved</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deal_simulator.py wrote field name 'loan_term' into DEAL_CELLS and all three scenario dicts. rent_roll_parser.py and app 7.py both read the key 'loan_term_yrs'. Because the keys never matched, app.py always fell back to the hard-coded default of 10 years regardless of what was written to the Excel file. No exception was raised.</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Silent data error: all deals processed with 10yr loan term. Any scenario with a non-standard term (e.g. 7yr) would produce incorrect DSCR and annuity figures without warning.</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Renamed 'loan_term' to 'loan_term_yrs' in four locations within deal_simulator.py: the DEAL_CELLS dict and all three scenario deal dicts (Regensburg, Kassel, Duisburg). Round-trip verified: write_scenario(1) followed by load_deal_overview() returns 10.0yr correctly.</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F-03</w:t>
            </w:r>
          </w:p>
        </w:tc>
        <w:tc>
          <w:tcPr>
            <w:tcW w:type="dxa" w:w="6690"/>
            <w:shd w:val="clear" w:color="auto" w:fill="2E6DA4"/>
          </w:tcPr>
          <w:p>
            <w:pPr>
              <w:spacing w:before="100" w:after="100"/>
            </w:pPr>
            <w:r>
              <w:rPr>
                <w:rFonts w:ascii="Calibri" w:hAnsi="Calibri"/>
                <w:b/>
                <w:i w:val="0"/>
                <w:color w:val="FFFFFF"/>
                <w:sz w:val="21"/>
              </w:rPr>
              <w:t>CPI passthrough normalisation boundary error</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rent_roll_parser.py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The normalisation logic at line ~188 uses `if x &gt; 1: x / 100` to convert percentage-format inputs (e.g. 75) to decimal (0.75). Any CPI passthrough value between 1.00 and 1.99 — representing 100% to 199% — is misread as 0.01 to 0.019, a 100x understatement. A lease with full 100% CPI passthrough would be stored as 0.01 (1%).</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CPI rent growth projections materially understated for full-passthrough leases.</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Change normalisation guard from `x &gt; 1` to `x &gt; 1.99` (or validate that raw input is always in the range [0, 100]).</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F-04</w:t>
            </w:r>
          </w:p>
        </w:tc>
        <w:tc>
          <w:tcPr>
            <w:tcW w:type="dxa" w:w="6690"/>
            <w:shd w:val="clear" w:color="auto" w:fill="2E6DA4"/>
          </w:tcPr>
          <w:p>
            <w:pPr>
              <w:spacing w:before="100" w:after="100"/>
            </w:pPr>
            <w:r>
              <w:rPr>
                <w:rFonts w:ascii="Calibri" w:hAnsi="Calibri"/>
                <w:b/>
                <w:i w:val="0"/>
                <w:color w:val="FFFFFF"/>
                <w:sz w:val="21"/>
              </w:rPr>
              <w:t>ZeroDivisionError on vacant unit rent back-calculation</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deal_converter 8.py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When annual rent is known but rent_sqm_mo is zero, the converter back-calculates: rent = annual / (area * 12). For vacant units where area_sqm == 0, this produces a ZeroDivisionError. The zero-area guard that filters the tenant fires two lines later, after the division has already been attempted.</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Unhandled exception when importing a broker sheet containing vacant units with no area.</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Add `if area_sqm &gt; 0:` guard around the back-calculation, before the division executes.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F-05</w:t>
            </w:r>
          </w:p>
        </w:tc>
        <w:tc>
          <w:tcPr>
            <w:tcW w:type="dxa" w:w="6690"/>
            <w:shd w:val="clear" w:color="auto" w:fill="2E6DA4"/>
          </w:tcPr>
          <w:p>
            <w:pPr>
              <w:spacing w:before="100" w:after="100"/>
            </w:pPr>
            <w:r>
              <w:rPr>
                <w:rFonts w:ascii="Calibri" w:hAnsi="Calibri"/>
                <w:b/>
                <w:i w:val="0"/>
                <w:color w:val="FFFFFF"/>
                <w:sz w:val="21"/>
              </w:rPr>
              <w:t>CPI passthrough decimal/percentage format not detected</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dd_scanner 7.py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The scanner extracts CPI passthrough from PDF text and applies `int(val) / 100` unconditionally. If the lease PDF expresses the value in decimal form ('0.75' rather than '75'), the result is 0.0075 — a 100x understatement. No format detection or validation is performed.</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Incorrect CPI passthrough stored in DD comparison output; discrepancy vs. rent roll may not be flagged.</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Detect input format: if extracted value &lt; 2.0, treat as already decimal; if &gt;= 2.0, divide by 100. Add explicit range validation [0, 1] post-normalisation.</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F-06</w:t>
            </w:r>
          </w:p>
        </w:tc>
        <w:tc>
          <w:tcPr>
            <w:tcW w:type="dxa" w:w="6690"/>
            <w:shd w:val="clear" w:color="auto" w:fill="2E6DA4"/>
          </w:tcPr>
          <w:p>
            <w:pPr>
              <w:spacing w:before="100" w:after="100"/>
            </w:pPr>
            <w:r>
              <w:rPr>
                <w:rFonts w:ascii="Calibri" w:hAnsi="Calibri"/>
                <w:b/>
                <w:i w:val="0"/>
                <w:color w:val="FFFFFF"/>
                <w:sz w:val="21"/>
              </w:rPr>
              <w:t>GrESt auto-detection uses substring match (false-positive risk)</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intake_deal.py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The _auto_grest() function resolves the German real-estate transfer tax rate via `state_keyword in city_string.lower()`. Substring matching without word boundaries could match partial strings (e.g. a city name containing a state keyword as a substring), returning the wrong tax rate silently.</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Incorrect GrESt rate applied to acquisition cost and LTV calculation.</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Replace substring match with regex word-boundary pattern: `re.search(r'\b' + keyword + r'\b', city.lower())`.</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F-07</w:t>
            </w:r>
          </w:p>
        </w:tc>
        <w:tc>
          <w:tcPr>
            <w:tcW w:type="dxa" w:w="6690"/>
            <w:shd w:val="clear" w:color="auto" w:fill="2E6DA4"/>
          </w:tcPr>
          <w:p>
            <w:pPr>
              <w:spacing w:before="100" w:after="100"/>
            </w:pPr>
            <w:r>
              <w:rPr>
                <w:rFonts w:ascii="Calibri" w:hAnsi="Calibri"/>
                <w:b/>
                <w:i w:val="0"/>
                <w:color w:val="FFFFFF"/>
                <w:sz w:val="21"/>
              </w:rPr>
              <w:t>GrESt lookup table duplicated across three modules</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Multiple files</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An identical GREST_BY_STATE dictionary exists independently in intake_deal.py, deal_converter 7.py, and deal_converter 8.py. German Bundesland transfer-tax rates have changed multiple times since 2012 and continue to change. With three separate copies, any rate update must be applied in three places; missing one produces silent inconsistencies between the intake workflow and the conversion workflow.</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Stale tax rates in one module produce different acquisition costs from another.</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Centralise the table in rent_roll_parser.py (or a shared constants module) and import it in the other two files.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F-08</w:t>
            </w:r>
          </w:p>
        </w:tc>
        <w:tc>
          <w:tcPr>
            <w:tcW w:type="dxa" w:w="6690"/>
            <w:shd w:val="clear" w:color="auto" w:fill="2E6DA4"/>
          </w:tcPr>
          <w:p>
            <w:pPr>
              <w:spacing w:before="100" w:after="100"/>
            </w:pPr>
            <w:r>
              <w:rPr>
                <w:rFonts w:ascii="Calibri" w:hAnsi="Calibri"/>
                <w:b/>
                <w:i w:val="0"/>
                <w:color w:val="FFFFFF"/>
                <w:sz w:val="21"/>
              </w:rPr>
              <w:t>IRR heatmap cap is silent — no user-visible indicator</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app 7.py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build_irr_heatmap() caps all IRR values at 25% (IRR_CAP) and returns a capped_mask boolean array identifying affected cells. This mask is computed but never surfaced in the Streamlit UI. A user viewing the heatmap cannot distinguish a cell showing '25.0%' because the deal genuinely returns 25% from one that was capped from 40%+.</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Misleading heatmap; extreme upside scenarios appear identical to realistic ones.</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Apply a visual indicator (hatching, asterisk, or distinct cell colour) to capped cells using the returned capped_mask, and add a footnote explaining the cap.</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F-09</w:t>
            </w:r>
          </w:p>
        </w:tc>
        <w:tc>
          <w:tcPr>
            <w:tcW w:type="dxa" w:w="6690"/>
            <w:shd w:val="clear" w:color="auto" w:fill="2E6DA4"/>
          </w:tcPr>
          <w:p>
            <w:pPr>
              <w:spacing w:before="100" w:after="100"/>
            </w:pPr>
            <w:r>
              <w:rPr>
                <w:rFonts w:ascii="Calibri" w:hAnsi="Calibri"/>
                <w:b/>
                <w:i w:val="0"/>
                <w:color w:val="FFFFFF"/>
                <w:sz w:val="21"/>
              </w:rPr>
              <w:t>Deal 1 teaching notes state incorrect anchor concentration</w:t>
            </w:r>
          </w:p>
        </w:tc>
        <w:tc>
          <w:tcPr>
            <w:tcW w:type="dxa" w:w="1701"/>
            <w:shd w:val="clear" w:color="auto" w:fill="D47A00"/>
          </w:tcPr>
          <w:p>
            <w:pPr>
              <w:spacing w:before="100" w:after="100"/>
              <w:jc w:val="center"/>
            </w:pPr>
            <w:r>
              <w:rPr>
                <w:rFonts w:ascii="Calibri" w:hAnsi="Calibri"/>
                <w:b/>
                <w:i w:val="0"/>
                <w:color w:val="FFFFFF"/>
                <w:sz w:val="18"/>
              </w:rPr>
              <w:t>WARNING</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practice_deals7.py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The teaching notes for Deal 1 (Flensburg PASS case) state that the anchor tenant Edeka represents 54.3% of passing rent, which the notes classify as just within the 55% PASS threshold. The actual calculation from the deal parameters (Edeka 3,200 m2 x EUR 10.50/m2/mo = EUR 403,200/yr; total rent EUR 615,300/yr) yields 65.5% — a WARN, not a PASS. The discrepancy propagates to the learning objective.</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Incorrect educational content; trainees learn the wrong expected outcome.</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Either (a) reduce Edeka's area or rent to bring anchor below 55%, or (b) update the teaching notes and learning objective to reflect the WARN status and explain why the deal still passes overall.</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35"/>
        <w:gridCol w:w="3135"/>
        <w:gridCol w:w="3135"/>
      </w:tblGrid>
      <w:tr>
        <w:tc>
          <w:tcPr>
            <w:tcW w:type="dxa" w:w="1020"/>
            <w:shd w:val="clear" w:color="auto" w:fill="1A3A5C"/>
          </w:tcPr>
          <w:p>
            <w:pPr>
              <w:spacing w:before="100" w:after="100"/>
              <w:jc w:val="center"/>
            </w:pPr>
            <w:r>
              <w:rPr>
                <w:rFonts w:ascii="Calibri" w:hAnsi="Calibri"/>
                <w:b/>
                <w:i w:val="0"/>
                <w:color w:val="FFFFFF"/>
                <w:sz w:val="22"/>
              </w:rPr>
              <w:t>F-10</w:t>
            </w:r>
          </w:p>
        </w:tc>
        <w:tc>
          <w:tcPr>
            <w:tcW w:type="dxa" w:w="6690"/>
            <w:shd w:val="clear" w:color="auto" w:fill="2E6DA4"/>
          </w:tcPr>
          <w:p>
            <w:pPr>
              <w:spacing w:before="100" w:after="100"/>
            </w:pPr>
            <w:r>
              <w:rPr>
                <w:rFonts w:ascii="Calibri" w:hAnsi="Calibri"/>
                <w:b/>
                <w:i w:val="0"/>
                <w:color w:val="FFFFFF"/>
                <w:sz w:val="21"/>
              </w:rPr>
              <w:t>No automated test validates expected_verdict fields</w:t>
            </w:r>
          </w:p>
        </w:tc>
        <w:tc>
          <w:tcPr>
            <w:tcW w:type="dxa" w:w="1701"/>
            <w:shd w:val="clear" w:color="auto" w:fill="1E7E4E"/>
          </w:tcPr>
          <w:p>
            <w:pPr>
              <w:spacing w:before="100" w:after="100"/>
              <w:jc w:val="center"/>
            </w:pPr>
            <w:r>
              <w:rPr>
                <w:rFonts w:ascii="Calibri" w:hAnsi="Calibri"/>
                <w:b/>
                <w:i w:val="0"/>
                <w:color w:val="FFFFFF"/>
                <w:sz w:val="18"/>
              </w:rPr>
              <w:t>MINOR</w:t>
            </w:r>
          </w:p>
        </w:tc>
      </w:tr>
    </w:tbl>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4703"/>
        <w:gridCol w:w="4703"/>
      </w:tblGrid>
      <w:tr>
        <w:tc>
          <w:tcPr>
            <w:tcW w:type="dxa" w:w="1814"/>
            <w:shd w:val="clear" w:color="auto" w:fill="F2F5F9"/>
          </w:tcPr>
          <w:p>
            <w:pPr>
              <w:spacing w:before="80" w:after="80"/>
            </w:pPr>
            <w:r>
              <w:rPr>
                <w:rFonts w:ascii="Calibri" w:hAnsi="Calibri"/>
                <w:b/>
                <w:i w:val="0"/>
                <w:color w:val="1A3A5C"/>
                <w:sz w:val="19"/>
              </w:rPr>
              <w:t>Affected File</w:t>
            </w:r>
          </w:p>
        </w:tc>
        <w:tc>
          <w:tcPr>
            <w:tcW w:type="dxa" w:w="7597"/>
            <w:shd w:val="clear" w:color="auto" w:fill="F2F5F9"/>
          </w:tcPr>
          <w:p>
            <w:pPr>
              <w:spacing w:before="80" w:after="80"/>
            </w:pPr>
            <w:r>
              <w:rPr>
                <w:rFonts w:ascii="Calibri" w:hAnsi="Calibri"/>
                <w:b w:val="0"/>
                <w:i w:val="0"/>
                <w:color w:val="3C3C3C"/>
                <w:sz w:val="19"/>
              </w:rPr>
              <w:t>deal_simulator.py / practice_deals7.py</w:t>
            </w:r>
          </w:p>
        </w:tc>
      </w:tr>
      <w:tr>
        <w:tc>
          <w:tcPr>
            <w:tcW w:type="dxa" w:w="1814"/>
            <w:shd w:val="clear" w:color="auto" w:fill="FFFFFF"/>
          </w:tcPr>
          <w:p>
            <w:pPr>
              <w:spacing w:before="80" w:after="80"/>
            </w:pPr>
            <w:r>
              <w:rPr>
                <w:rFonts w:ascii="Calibri" w:hAnsi="Calibri"/>
                <w:b/>
                <w:i w:val="0"/>
                <w:color w:val="1A3A5C"/>
                <w:sz w:val="19"/>
              </w:rPr>
              <w:t>Status</w:t>
            </w:r>
          </w:p>
        </w:tc>
        <w:tc>
          <w:tcPr>
            <w:tcW w:type="dxa" w:w="7597"/>
            <w:shd w:val="clear" w:color="auto" w:fill="FFFFFF"/>
          </w:tcPr>
          <w:p>
            <w:pPr>
              <w:spacing w:before="80" w:after="80"/>
            </w:pPr>
            <w:r>
              <w:rPr>
                <w:rFonts w:ascii="Calibri" w:hAnsi="Calibri"/>
                <w:b w:val="0"/>
                <w:i w:val="0"/>
                <w:color w:val="D47A00"/>
                <w:sz w:val="19"/>
              </w:rPr>
              <w:t>Open</w:t>
            </w:r>
          </w:p>
        </w:tc>
      </w:tr>
      <w:tr>
        <w:tc>
          <w:tcPr>
            <w:tcW w:type="dxa" w:w="1814"/>
            <w:shd w:val="clear" w:color="auto" w:fill="F2F5F9"/>
          </w:tcPr>
          <w:p>
            <w:pPr>
              <w:spacing w:before="80" w:after="80"/>
            </w:pPr>
            <w:r>
              <w:rPr>
                <w:rFonts w:ascii="Calibri" w:hAnsi="Calibri"/>
                <w:b/>
                <w:i w:val="0"/>
                <w:color w:val="1A3A5C"/>
                <w:sz w:val="19"/>
              </w:rPr>
              <w:t>Description</w:t>
            </w:r>
          </w:p>
        </w:tc>
        <w:tc>
          <w:tcPr>
            <w:tcW w:type="dxa" w:w="7597"/>
            <w:shd w:val="clear" w:color="auto" w:fill="F2F5F9"/>
          </w:tcPr>
          <w:p>
            <w:pPr>
              <w:spacing w:before="80" w:after="80"/>
            </w:pPr>
            <w:r>
              <w:rPr>
                <w:rFonts w:ascii="Calibri" w:hAnsi="Calibri"/>
                <w:b w:val="0"/>
                <w:i w:val="0"/>
                <w:color w:val="3C3C3C"/>
                <w:sz w:val="19"/>
              </w:rPr>
              <w:t>Both deal_simulator.py (verify_scenarios() function) and practice_deals7.py define expected_verdict strings for each scenario. These are not automatically executed as part of any test suite or CI pipeline. Changes to QA thresholds or verdict engine logic will silently invalidate expected verdicts without any failure signal.</w:t>
            </w:r>
          </w:p>
        </w:tc>
      </w:tr>
      <w:tr>
        <w:tc>
          <w:tcPr>
            <w:tcW w:type="dxa" w:w="1814"/>
            <w:shd w:val="clear" w:color="auto" w:fill="FFFFFF"/>
          </w:tcPr>
          <w:p>
            <w:pPr>
              <w:spacing w:before="80" w:after="80"/>
            </w:pPr>
            <w:r>
              <w:rPr>
                <w:rFonts w:ascii="Calibri" w:hAnsi="Calibri"/>
                <w:b/>
                <w:i w:val="0"/>
                <w:color w:val="1A3A5C"/>
                <w:sz w:val="19"/>
              </w:rPr>
              <w:t>Business Impact</w:t>
            </w:r>
          </w:p>
        </w:tc>
        <w:tc>
          <w:tcPr>
            <w:tcW w:type="dxa" w:w="7597"/>
            <w:shd w:val="clear" w:color="auto" w:fill="FFFFFF"/>
          </w:tcPr>
          <w:p>
            <w:pPr>
              <w:spacing w:before="80" w:after="80"/>
            </w:pPr>
            <w:r>
              <w:rPr>
                <w:rFonts w:ascii="Calibri" w:hAnsi="Calibri"/>
                <w:b w:val="0"/>
                <w:i w:val="0"/>
                <w:color w:val="3C3C3C"/>
                <w:sz w:val="19"/>
              </w:rPr>
              <w:t>Regression risk: logic changes break teaching materials or scenario checks without detection.</w:t>
            </w:r>
          </w:p>
        </w:tc>
      </w:tr>
      <w:tr>
        <w:tc>
          <w:tcPr>
            <w:tcW w:type="dxa" w:w="1814"/>
            <w:shd w:val="clear" w:color="auto" w:fill="F2F5F9"/>
          </w:tcPr>
          <w:p>
            <w:pPr>
              <w:spacing w:before="80" w:after="80"/>
            </w:pPr>
            <w:r>
              <w:rPr>
                <w:rFonts w:ascii="Calibri" w:hAnsi="Calibri"/>
                <w:b/>
                <w:i w:val="0"/>
                <w:color w:val="1A3A5C"/>
                <w:sz w:val="19"/>
              </w:rPr>
              <w:t>Recommended Fix</w:t>
            </w:r>
          </w:p>
        </w:tc>
        <w:tc>
          <w:tcPr>
            <w:tcW w:type="dxa" w:w="7597"/>
            <w:shd w:val="clear" w:color="auto" w:fill="F2F5F9"/>
          </w:tcPr>
          <w:p>
            <w:pPr>
              <w:spacing w:before="80" w:after="80"/>
            </w:pPr>
            <w:r>
              <w:rPr>
                <w:rFonts w:ascii="Calibri" w:hAnsi="Calibri"/>
                <w:b w:val="0"/>
                <w:i w:val="0"/>
                <w:color w:val="3C3C3C"/>
                <w:sz w:val="19"/>
              </w:rPr>
              <w:t>Add a pytest test file (test_verdicts.py) that iterates all scenarios and practice deals, runs them through the engine, and asserts actual verdict == expected_verdict.</w:t>
            </w:r>
          </w:p>
        </w:tc>
      </w:tr>
    </w:tbl>
    <w:p>
      <w:pPr>
        <w:spacing w:after="80"/>
      </w:pPr>
    </w:p>
    <w:p>
      <w:r>
        <w:br w:type="page"/>
      </w:r>
    </w:p>
    <w:p>
      <w:pPr>
        <w:spacing w:before="280" w:after="80"/>
        <w:pBdr>
          <w:bottom w:val="single" w:sz="6" w:color="1A3A5C"/>
        </w:pBdr>
      </w:pPr>
      <w:r>
        <w:rPr>
          <w:rFonts w:ascii="Calibri" w:hAnsi="Calibri"/>
          <w:b/>
          <w:color w:val="1A3A5C"/>
          <w:sz w:val="24"/>
        </w:rPr>
        <w:t>5   RECOMMENDED REMEDIATION PLAN</w:t>
      </w:r>
    </w:p>
    <w:p>
      <w:pPr>
        <w:spacing w:before="0" w:after="120"/>
      </w:pPr>
      <w:r>
        <w:rPr>
          <w:rFonts w:ascii="Calibri" w:hAnsi="Calibri"/>
          <w:color w:val="3C3C3C"/>
          <w:sz w:val="20"/>
        </w:rPr>
        <w:t>The following schedule groups open findings by priority and assigns indicative effort. Critical items have been resolved. Warning items should be addressed in the next sprint cycle. The Minor item may be scheduled at the team's discretion.</w:t>
      </w:r>
    </w:p>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1881"/>
        <w:gridCol w:w="1881"/>
        <w:gridCol w:w="1881"/>
        <w:gridCol w:w="1881"/>
        <w:gridCol w:w="1881"/>
      </w:tblGrid>
      <w:tr>
        <w:tc>
          <w:tcPr>
            <w:tcW w:type="dxa" w:w="1587"/>
            <w:shd w:val="clear" w:color="auto" w:fill="1A3A5C"/>
          </w:tcPr>
          <w:p>
            <w:pPr>
              <w:spacing w:before="80" w:after="80"/>
              <w:jc w:val="center"/>
            </w:pPr>
            <w:r>
              <w:rPr>
                <w:rFonts w:ascii="Calibri" w:hAnsi="Calibri"/>
                <w:b/>
                <w:i w:val="0"/>
                <w:color w:val="FFFFFF"/>
                <w:sz w:val="18"/>
              </w:rPr>
              <w:t>Timeline</w:t>
            </w:r>
          </w:p>
        </w:tc>
        <w:tc>
          <w:tcPr>
            <w:tcW w:type="dxa" w:w="1247"/>
            <w:shd w:val="clear" w:color="auto" w:fill="1A3A5C"/>
          </w:tcPr>
          <w:p>
            <w:pPr>
              <w:spacing w:before="80" w:after="80"/>
              <w:jc w:val="center"/>
            </w:pPr>
            <w:r>
              <w:rPr>
                <w:rFonts w:ascii="Calibri" w:hAnsi="Calibri"/>
                <w:b/>
                <w:i w:val="0"/>
                <w:color w:val="FFFFFF"/>
                <w:sz w:val="18"/>
              </w:rPr>
              <w:t>Priority</w:t>
            </w:r>
          </w:p>
        </w:tc>
        <w:tc>
          <w:tcPr>
            <w:tcW w:type="dxa" w:w="1020"/>
            <w:shd w:val="clear" w:color="auto" w:fill="1A3A5C"/>
          </w:tcPr>
          <w:p>
            <w:pPr>
              <w:spacing w:before="80" w:after="80"/>
              <w:jc w:val="center"/>
            </w:pPr>
            <w:r>
              <w:rPr>
                <w:rFonts w:ascii="Calibri" w:hAnsi="Calibri"/>
                <w:b/>
                <w:i w:val="0"/>
                <w:color w:val="FFFFFF"/>
                <w:sz w:val="18"/>
              </w:rPr>
              <w:t>Finding(s)</w:t>
            </w:r>
          </w:p>
        </w:tc>
        <w:tc>
          <w:tcPr>
            <w:tcW w:type="dxa" w:w="4422"/>
            <w:shd w:val="clear" w:color="auto" w:fill="1A3A5C"/>
          </w:tcPr>
          <w:p>
            <w:pPr>
              <w:spacing w:before="80" w:after="80"/>
              <w:jc w:val="center"/>
            </w:pPr>
            <w:r>
              <w:rPr>
                <w:rFonts w:ascii="Calibri" w:hAnsi="Calibri"/>
                <w:b/>
                <w:i w:val="0"/>
                <w:color w:val="FFFFFF"/>
                <w:sz w:val="18"/>
              </w:rPr>
              <w:t>Action Required</w:t>
            </w:r>
          </w:p>
        </w:tc>
        <w:tc>
          <w:tcPr>
            <w:tcW w:type="dxa" w:w="1134"/>
            <w:shd w:val="clear" w:color="auto" w:fill="1A3A5C"/>
          </w:tcPr>
          <w:p>
            <w:pPr>
              <w:spacing w:before="80" w:after="80"/>
              <w:jc w:val="center"/>
            </w:pPr>
            <w:r>
              <w:rPr>
                <w:rFonts w:ascii="Calibri" w:hAnsi="Calibri"/>
                <w:b/>
                <w:i w:val="0"/>
                <w:color w:val="FFFFFF"/>
                <w:sz w:val="18"/>
              </w:rPr>
              <w:t>Effort</w:t>
            </w:r>
          </w:p>
        </w:tc>
      </w:tr>
      <w:tr>
        <w:tc>
          <w:tcPr>
            <w:tcW w:type="dxa" w:w="1587"/>
            <w:shd w:val="clear" w:color="auto" w:fill="D5F5E3"/>
          </w:tcPr>
          <w:p>
            <w:pPr>
              <w:spacing w:before="80" w:after="80"/>
              <w:jc w:val="center"/>
            </w:pPr>
            <w:r>
              <w:rPr>
                <w:rFonts w:ascii="Calibri" w:hAnsi="Calibri"/>
                <w:b/>
                <w:i w:val="0"/>
                <w:color w:val="1A3A5C"/>
                <w:sz w:val="18"/>
              </w:rPr>
              <w:t>Sprint 1</w:t>
              <w:br/>
              <w:t>(Immediate)</w:t>
            </w:r>
          </w:p>
        </w:tc>
        <w:tc>
          <w:tcPr>
            <w:tcW w:type="dxa" w:w="1247"/>
            <w:shd w:val="clear" w:color="auto" w:fill="D5F5E3"/>
          </w:tcPr>
          <w:p>
            <w:pPr>
              <w:spacing w:before="80" w:after="80"/>
              <w:jc w:val="center"/>
            </w:pPr>
            <w:r>
              <w:rPr>
                <w:rFonts w:ascii="Calibri" w:hAnsi="Calibri"/>
                <w:b/>
                <w:i w:val="0"/>
                <w:color w:val="1A3A5C"/>
                <w:sz w:val="18"/>
              </w:rPr>
              <w:t>Critical</w:t>
            </w:r>
          </w:p>
        </w:tc>
        <w:tc>
          <w:tcPr>
            <w:tcW w:type="dxa" w:w="1020"/>
            <w:shd w:val="clear" w:color="auto" w:fill="D5F5E3"/>
          </w:tcPr>
          <w:p>
            <w:pPr>
              <w:spacing w:before="80" w:after="80"/>
              <w:jc w:val="center"/>
            </w:pPr>
            <w:r>
              <w:rPr>
                <w:rFonts w:ascii="Calibri" w:hAnsi="Calibri"/>
                <w:b w:val="0"/>
                <w:i w:val="0"/>
                <w:color w:val="3C3C3C"/>
                <w:sz w:val="18"/>
              </w:rPr>
              <w:t>F-01, F-02</w:t>
            </w:r>
          </w:p>
        </w:tc>
        <w:tc>
          <w:tcPr>
            <w:tcW w:type="dxa" w:w="4422"/>
            <w:shd w:val="clear" w:color="auto" w:fill="D5F5E3"/>
          </w:tcPr>
          <w:p>
            <w:pPr>
              <w:spacing w:before="80" w:after="80"/>
              <w:jc w:val="left"/>
            </w:pPr>
            <w:r>
              <w:rPr>
                <w:rFonts w:ascii="Calibri" w:hAnsi="Calibri"/>
                <w:b w:val="0"/>
                <w:i w:val="0"/>
                <w:color w:val="3C3C3C"/>
                <w:sz w:val="18"/>
              </w:rPr>
              <w:t>Resolved within this audit cycle. Smoke-tested and verified.</w:t>
            </w:r>
          </w:p>
        </w:tc>
        <w:tc>
          <w:tcPr>
            <w:tcW w:type="dxa" w:w="1134"/>
            <w:shd w:val="clear" w:color="auto" w:fill="D5F5E3"/>
          </w:tcPr>
          <w:p>
            <w:pPr>
              <w:spacing w:before="80" w:after="80"/>
              <w:jc w:val="center"/>
            </w:pPr>
            <w:r>
              <w:rPr>
                <w:rFonts w:ascii="Calibri" w:hAnsi="Calibri"/>
                <w:b w:val="0"/>
                <w:i w:val="0"/>
                <w:color w:val="3C3C3C"/>
                <w:sz w:val="18"/>
              </w:rPr>
              <w:t>1 developer</w:t>
              <w:br/>
              <w:t>0.5 day</w:t>
            </w:r>
          </w:p>
        </w:tc>
      </w:tr>
      <w:tr>
        <w:tc>
          <w:tcPr>
            <w:tcW w:type="dxa" w:w="1587"/>
            <w:shd w:val="clear" w:color="auto" w:fill="FEF9E7"/>
          </w:tcPr>
          <w:p>
            <w:pPr>
              <w:spacing w:before="80" w:after="80"/>
              <w:jc w:val="center"/>
            </w:pPr>
            <w:r>
              <w:rPr>
                <w:rFonts w:ascii="Calibri" w:hAnsi="Calibri"/>
                <w:b/>
                <w:i w:val="0"/>
                <w:color w:val="1A3A5C"/>
                <w:sz w:val="18"/>
              </w:rPr>
              <w:t>Sprint 2</w:t>
              <w:br/>
              <w:t>(1-2 weeks)</w:t>
            </w:r>
          </w:p>
        </w:tc>
        <w:tc>
          <w:tcPr>
            <w:tcW w:type="dxa" w:w="1247"/>
            <w:shd w:val="clear" w:color="auto" w:fill="FEF9E7"/>
          </w:tcPr>
          <w:p>
            <w:pPr>
              <w:spacing w:before="80" w:after="80"/>
              <w:jc w:val="center"/>
            </w:pPr>
            <w:r>
              <w:rPr>
                <w:rFonts w:ascii="Calibri" w:hAnsi="Calibri"/>
                <w:b/>
                <w:i w:val="0"/>
                <w:color w:val="1A3A5C"/>
                <w:sz w:val="18"/>
              </w:rPr>
              <w:t>Warning</w:t>
            </w:r>
          </w:p>
        </w:tc>
        <w:tc>
          <w:tcPr>
            <w:tcW w:type="dxa" w:w="1020"/>
            <w:shd w:val="clear" w:color="auto" w:fill="FEF9E7"/>
          </w:tcPr>
          <w:p>
            <w:pPr>
              <w:spacing w:before="80" w:after="80"/>
              <w:jc w:val="center"/>
            </w:pPr>
            <w:r>
              <w:rPr>
                <w:rFonts w:ascii="Calibri" w:hAnsi="Calibri"/>
                <w:b w:val="0"/>
                <w:i w:val="0"/>
                <w:color w:val="3C3C3C"/>
                <w:sz w:val="18"/>
              </w:rPr>
              <w:t>F-03, F-04, F-05</w:t>
            </w:r>
          </w:p>
        </w:tc>
        <w:tc>
          <w:tcPr>
            <w:tcW w:type="dxa" w:w="4422"/>
            <w:shd w:val="clear" w:color="auto" w:fill="FEF9E7"/>
          </w:tcPr>
          <w:p>
            <w:pPr>
              <w:spacing w:before="80" w:after="80"/>
              <w:jc w:val="left"/>
            </w:pPr>
            <w:r>
              <w:rPr>
                <w:rFonts w:ascii="Calibri" w:hAnsi="Calibri"/>
                <w:b w:val="0"/>
                <w:i w:val="0"/>
                <w:color w:val="3C3C3C"/>
                <w:sz w:val="18"/>
              </w:rPr>
              <w:t>F-03: Fix CPI guard in rent_roll_parser.py.</w:t>
              <w:br/>
              <w:t>F-04: Add area &gt; 0 guard in deal_converter 8.py.</w:t>
              <w:br/>
              <w:t>F-05: Add decimal/percentage detection in dd_scanner 7.py.</w:t>
            </w:r>
          </w:p>
        </w:tc>
        <w:tc>
          <w:tcPr>
            <w:tcW w:type="dxa" w:w="1134"/>
            <w:shd w:val="clear" w:color="auto" w:fill="FEF9E7"/>
          </w:tcPr>
          <w:p>
            <w:pPr>
              <w:spacing w:before="80" w:after="80"/>
              <w:jc w:val="center"/>
            </w:pPr>
            <w:r>
              <w:rPr>
                <w:rFonts w:ascii="Calibri" w:hAnsi="Calibri"/>
                <w:b w:val="0"/>
                <w:i w:val="0"/>
                <w:color w:val="3C3C3C"/>
                <w:sz w:val="18"/>
              </w:rPr>
              <w:t>1 developer</w:t>
              <w:br/>
              <w:t>1 day</w:t>
            </w:r>
          </w:p>
        </w:tc>
      </w:tr>
      <w:tr>
        <w:tc>
          <w:tcPr>
            <w:tcW w:type="dxa" w:w="1587"/>
            <w:shd w:val="clear" w:color="auto" w:fill="EBF5FB"/>
          </w:tcPr>
          <w:p>
            <w:pPr>
              <w:spacing w:before="80" w:after="80"/>
              <w:jc w:val="center"/>
            </w:pPr>
            <w:r>
              <w:rPr>
                <w:rFonts w:ascii="Calibri" w:hAnsi="Calibri"/>
                <w:b/>
                <w:i w:val="0"/>
                <w:color w:val="1A3A5C"/>
                <w:sz w:val="18"/>
              </w:rPr>
              <w:t>Sprint 3</w:t>
              <w:br/>
              <w:t>(2-4 weeks)</w:t>
            </w:r>
          </w:p>
        </w:tc>
        <w:tc>
          <w:tcPr>
            <w:tcW w:type="dxa" w:w="1247"/>
            <w:shd w:val="clear" w:color="auto" w:fill="EBF5FB"/>
          </w:tcPr>
          <w:p>
            <w:pPr>
              <w:spacing w:before="80" w:after="80"/>
              <w:jc w:val="center"/>
            </w:pPr>
            <w:r>
              <w:rPr>
                <w:rFonts w:ascii="Calibri" w:hAnsi="Calibri"/>
                <w:b/>
                <w:i w:val="0"/>
                <w:color w:val="1A3A5C"/>
                <w:sz w:val="18"/>
              </w:rPr>
              <w:t>Warning</w:t>
            </w:r>
          </w:p>
        </w:tc>
        <w:tc>
          <w:tcPr>
            <w:tcW w:type="dxa" w:w="1020"/>
            <w:shd w:val="clear" w:color="auto" w:fill="EBF5FB"/>
          </w:tcPr>
          <w:p>
            <w:pPr>
              <w:spacing w:before="80" w:after="80"/>
              <w:jc w:val="center"/>
            </w:pPr>
            <w:r>
              <w:rPr>
                <w:rFonts w:ascii="Calibri" w:hAnsi="Calibri"/>
                <w:b w:val="0"/>
                <w:i w:val="0"/>
                <w:color w:val="3C3C3C"/>
                <w:sz w:val="18"/>
              </w:rPr>
              <w:t>F-06, F-07, F-08, F-09</w:t>
            </w:r>
          </w:p>
        </w:tc>
        <w:tc>
          <w:tcPr>
            <w:tcW w:type="dxa" w:w="4422"/>
            <w:shd w:val="clear" w:color="auto" w:fill="EBF5FB"/>
          </w:tcPr>
          <w:p>
            <w:pPr>
              <w:spacing w:before="80" w:after="80"/>
              <w:jc w:val="left"/>
            </w:pPr>
            <w:r>
              <w:rPr>
                <w:rFonts w:ascii="Calibri" w:hAnsi="Calibri"/>
                <w:b w:val="0"/>
                <w:i w:val="0"/>
                <w:color w:val="3C3C3C"/>
                <w:sz w:val="18"/>
              </w:rPr>
              <w:t>F-06: Regex word-boundary for GrESt auto-detection.</w:t>
              <w:br/>
              <w:t>F-07: Centralise GrESt table into shared module.</w:t>
              <w:br/>
              <w:t>F-08: Surface IRR cap indicator in heatmap UI.</w:t>
              <w:br/>
              <w:t>F-09: Correct Deal 1 anchor % in teaching notes.</w:t>
            </w:r>
          </w:p>
        </w:tc>
        <w:tc>
          <w:tcPr>
            <w:tcW w:type="dxa" w:w="1134"/>
            <w:shd w:val="clear" w:color="auto" w:fill="EBF5FB"/>
          </w:tcPr>
          <w:p>
            <w:pPr>
              <w:spacing w:before="80" w:after="80"/>
              <w:jc w:val="center"/>
            </w:pPr>
            <w:r>
              <w:rPr>
                <w:rFonts w:ascii="Calibri" w:hAnsi="Calibri"/>
                <w:b w:val="0"/>
                <w:i w:val="0"/>
                <w:color w:val="3C3C3C"/>
                <w:sz w:val="18"/>
              </w:rPr>
              <w:t>1 developer</w:t>
              <w:br/>
              <w:t>2 days</w:t>
            </w:r>
          </w:p>
        </w:tc>
      </w:tr>
      <w:tr>
        <w:tc>
          <w:tcPr>
            <w:tcW w:type="dxa" w:w="1587"/>
            <w:shd w:val="clear" w:color="auto" w:fill="F9F9F9"/>
          </w:tcPr>
          <w:p>
            <w:pPr>
              <w:spacing w:before="80" w:after="80"/>
              <w:jc w:val="center"/>
            </w:pPr>
            <w:r>
              <w:rPr>
                <w:rFonts w:ascii="Calibri" w:hAnsi="Calibri"/>
                <w:b/>
                <w:i w:val="0"/>
                <w:color w:val="1A3A5C"/>
                <w:sz w:val="18"/>
              </w:rPr>
              <w:t>Backlog</w:t>
            </w:r>
          </w:p>
        </w:tc>
        <w:tc>
          <w:tcPr>
            <w:tcW w:type="dxa" w:w="1247"/>
            <w:shd w:val="clear" w:color="auto" w:fill="F9F9F9"/>
          </w:tcPr>
          <w:p>
            <w:pPr>
              <w:spacing w:before="80" w:after="80"/>
              <w:jc w:val="center"/>
            </w:pPr>
            <w:r>
              <w:rPr>
                <w:rFonts w:ascii="Calibri" w:hAnsi="Calibri"/>
                <w:b/>
                <w:i w:val="0"/>
                <w:color w:val="1A3A5C"/>
                <w:sz w:val="18"/>
              </w:rPr>
              <w:t>Minor</w:t>
            </w:r>
          </w:p>
        </w:tc>
        <w:tc>
          <w:tcPr>
            <w:tcW w:type="dxa" w:w="1020"/>
            <w:shd w:val="clear" w:color="auto" w:fill="F9F9F9"/>
          </w:tcPr>
          <w:p>
            <w:pPr>
              <w:spacing w:before="80" w:after="80"/>
              <w:jc w:val="center"/>
            </w:pPr>
            <w:r>
              <w:rPr>
                <w:rFonts w:ascii="Calibri" w:hAnsi="Calibri"/>
                <w:b w:val="0"/>
                <w:i w:val="0"/>
                <w:color w:val="3C3C3C"/>
                <w:sz w:val="18"/>
              </w:rPr>
              <w:t>F-10</w:t>
            </w:r>
          </w:p>
        </w:tc>
        <w:tc>
          <w:tcPr>
            <w:tcW w:type="dxa" w:w="4422"/>
            <w:shd w:val="clear" w:color="auto" w:fill="F9F9F9"/>
          </w:tcPr>
          <w:p>
            <w:pPr>
              <w:spacing w:before="80" w:after="80"/>
              <w:jc w:val="left"/>
            </w:pPr>
            <w:r>
              <w:rPr>
                <w:rFonts w:ascii="Calibri" w:hAnsi="Calibri"/>
                <w:b w:val="0"/>
                <w:i w:val="0"/>
                <w:color w:val="3C3C3C"/>
                <w:sz w:val="18"/>
              </w:rPr>
              <w:t>Add pytest test file for verdict regression coverage.</w:t>
            </w:r>
          </w:p>
        </w:tc>
        <w:tc>
          <w:tcPr>
            <w:tcW w:type="dxa" w:w="1134"/>
            <w:shd w:val="clear" w:color="auto" w:fill="F9F9F9"/>
          </w:tcPr>
          <w:p>
            <w:pPr>
              <w:spacing w:before="80" w:after="80"/>
              <w:jc w:val="center"/>
            </w:pPr>
            <w:r>
              <w:rPr>
                <w:rFonts w:ascii="Calibri" w:hAnsi="Calibri"/>
                <w:b w:val="0"/>
                <w:i w:val="0"/>
                <w:color w:val="3C3C3C"/>
                <w:sz w:val="18"/>
              </w:rPr>
              <w:t>1 developer</w:t>
              <w:br/>
              <w:t>0.5 day</w:t>
            </w:r>
          </w:p>
        </w:tc>
      </w:tr>
    </w:tbl>
    <w:p/>
    <w:p>
      <w:pPr>
        <w:spacing w:before="280" w:after="80"/>
        <w:pBdr>
          <w:bottom w:val="single" w:sz="6" w:color="1A3A5C"/>
        </w:pBdr>
      </w:pPr>
      <w:r>
        <w:rPr>
          <w:rFonts w:ascii="Calibri" w:hAnsi="Calibri"/>
          <w:b/>
          <w:color w:val="1A3A5C"/>
          <w:sz w:val="24"/>
        </w:rPr>
        <w:t>6   SIGN-OFF AND APPROVALS</w:t>
      </w:r>
    </w:p>
    <w:p>
      <w:pPr>
        <w:spacing w:before="0" w:after="120"/>
      </w:pPr>
      <w:r>
        <w:rPr>
          <w:rFonts w:ascii="Calibri" w:hAnsi="Calibri"/>
          <w:color w:val="3C3C3C"/>
          <w:sz w:val="20"/>
        </w:rPr>
        <w:t>This audit report has been reviewed and is subject to formal sign-off by the individuals listed below. Sign-off confirms acknowledgement of the findings, acceptance of the remediation plan, and commitment to address open items within the agreed schedule.</w:t>
      </w:r>
    </w:p>
    <w:tbl>
      <w:tblPr>
        <w:tblW w:type="auto" w:w="0"/>
        <w:tblLook w:firstColumn="1" w:firstRow="1" w:lastColumn="0" w:lastRow="0" w:noHBand="0" w:noVBand="1" w:val="04A0"/>
        <w:tblBorders>
          <w:top w:val="single" w:sz="4" w:color="D0D8E4"/>
          <w:left w:val="single" w:sz="4" w:color="D0D8E4"/>
          <w:bottom w:val="single" w:sz="4" w:color="D0D8E4"/>
          <w:right w:val="single" w:sz="4" w:color="D0D8E4"/>
          <w:insideH w:val="single" w:sz="4" w:color="D0D8E4"/>
          <w:insideV w:val="single" w:sz="4" w:color="D0D8E4"/>
        </w:tblBorders>
      </w:tblPr>
      <w:tblGrid>
        <w:gridCol w:w="1881"/>
        <w:gridCol w:w="1881"/>
        <w:gridCol w:w="1881"/>
        <w:gridCol w:w="1881"/>
        <w:gridCol w:w="1881"/>
      </w:tblGrid>
      <w:tr>
        <w:tc>
          <w:tcPr>
            <w:tcW w:type="dxa" w:w="1701"/>
            <w:shd w:val="clear" w:color="auto" w:fill="1A3A5C"/>
          </w:tcPr>
          <w:p>
            <w:pPr>
              <w:spacing w:before="80" w:after="80"/>
              <w:jc w:val="center"/>
            </w:pPr>
            <w:r>
              <w:rPr>
                <w:rFonts w:ascii="Calibri" w:hAnsi="Calibri"/>
                <w:b/>
                <w:i w:val="0"/>
                <w:color w:val="FFFFFF"/>
                <w:sz w:val="18"/>
              </w:rPr>
              <w:t>Role</w:t>
            </w:r>
          </w:p>
        </w:tc>
        <w:tc>
          <w:tcPr>
            <w:tcW w:type="dxa" w:w="2268"/>
            <w:shd w:val="clear" w:color="auto" w:fill="1A3A5C"/>
          </w:tcPr>
          <w:p>
            <w:pPr>
              <w:spacing w:before="80" w:after="80"/>
              <w:jc w:val="center"/>
            </w:pPr>
            <w:r>
              <w:rPr>
                <w:rFonts w:ascii="Calibri" w:hAnsi="Calibri"/>
                <w:b/>
                <w:i w:val="0"/>
                <w:color w:val="FFFFFF"/>
                <w:sz w:val="18"/>
              </w:rPr>
              <w:t>Name</w:t>
            </w:r>
          </w:p>
        </w:tc>
        <w:tc>
          <w:tcPr>
            <w:tcW w:type="dxa" w:w="2551"/>
            <w:shd w:val="clear" w:color="auto" w:fill="1A3A5C"/>
          </w:tcPr>
          <w:p>
            <w:pPr>
              <w:spacing w:before="80" w:after="80"/>
              <w:jc w:val="center"/>
            </w:pPr>
            <w:r>
              <w:rPr>
                <w:rFonts w:ascii="Calibri" w:hAnsi="Calibri"/>
                <w:b/>
                <w:i w:val="0"/>
                <w:color w:val="FFFFFF"/>
                <w:sz w:val="18"/>
              </w:rPr>
              <w:t>Title</w:t>
            </w:r>
          </w:p>
        </w:tc>
        <w:tc>
          <w:tcPr>
            <w:tcW w:type="dxa" w:w="1984"/>
            <w:shd w:val="clear" w:color="auto" w:fill="1A3A5C"/>
          </w:tcPr>
          <w:p>
            <w:pPr>
              <w:spacing w:before="80" w:after="80"/>
              <w:jc w:val="center"/>
            </w:pPr>
            <w:r>
              <w:rPr>
                <w:rFonts w:ascii="Calibri" w:hAnsi="Calibri"/>
                <w:b/>
                <w:i w:val="0"/>
                <w:color w:val="FFFFFF"/>
                <w:sz w:val="18"/>
              </w:rPr>
              <w:t>Signature</w:t>
            </w:r>
          </w:p>
        </w:tc>
        <w:tc>
          <w:tcPr>
            <w:tcW w:type="dxa" w:w="1020"/>
            <w:shd w:val="clear" w:color="auto" w:fill="1A3A5C"/>
          </w:tcPr>
          <w:p>
            <w:pPr>
              <w:spacing w:before="80" w:after="80"/>
              <w:jc w:val="center"/>
            </w:pPr>
            <w:r>
              <w:rPr>
                <w:rFonts w:ascii="Calibri" w:hAnsi="Calibri"/>
                <w:b/>
                <w:i w:val="0"/>
                <w:color w:val="FFFFFF"/>
                <w:sz w:val="18"/>
              </w:rPr>
              <w:t>Date</w:t>
            </w:r>
          </w:p>
        </w:tc>
      </w:tr>
      <w:tr>
        <w:tc>
          <w:tcPr>
            <w:tcW w:type="dxa" w:w="1701"/>
            <w:shd w:val="clear" w:color="auto" w:fill="F2F5F9"/>
          </w:tcPr>
          <w:p>
            <w:pPr>
              <w:spacing w:before="200" w:after="200"/>
            </w:pPr>
            <w:r>
              <w:rPr>
                <w:rFonts w:ascii="Calibri" w:hAnsi="Calibri"/>
                <w:b/>
                <w:i w:val="0"/>
                <w:color w:val="1A3A5C"/>
                <w:sz w:val="19"/>
              </w:rPr>
              <w:t>Technical Review</w:t>
            </w:r>
          </w:p>
        </w:tc>
        <w:tc>
          <w:tcPr>
            <w:tcW w:type="dxa" w:w="2268"/>
            <w:shd w:val="clear" w:color="auto" w:fill="F2F5F9"/>
          </w:tcPr>
          <w:p>
            <w:pPr>
              <w:spacing w:before="200" w:after="200"/>
            </w:pPr>
            <w:r>
              <w:rPr>
                <w:rFonts w:ascii="Calibri" w:hAnsi="Calibri"/>
                <w:b w:val="0"/>
                <w:i w:val="0"/>
                <w:color w:val="3C3C3C"/>
                <w:sz w:val="19"/>
              </w:rPr>
              <w:t>Technical Review Team</w:t>
            </w:r>
          </w:p>
        </w:tc>
        <w:tc>
          <w:tcPr>
            <w:tcW w:type="dxa" w:w="2551"/>
            <w:shd w:val="clear" w:color="auto" w:fill="F2F5F9"/>
          </w:tcPr>
          <w:p>
            <w:pPr>
              <w:spacing w:before="200" w:after="200"/>
            </w:pPr>
            <w:r>
              <w:rPr>
                <w:rFonts w:ascii="Calibri" w:hAnsi="Calibri"/>
                <w:b w:val="0"/>
                <w:i w:val="0"/>
                <w:color w:val="3C3C3C"/>
                <w:sz w:val="19"/>
              </w:rPr>
              <w:t>Technical Review Team</w:t>
            </w:r>
          </w:p>
        </w:tc>
        <w:tc>
          <w:tcPr>
            <w:tcW w:type="dxa" w:w="1984"/>
            <w:shd w:val="clear" w:color="auto" w:fill="F2F5F9"/>
          </w:tcPr>
          <w:p>
            <w:pPr>
              <w:spacing w:before="200" w:after="200"/>
            </w:pPr>
            <w:r>
              <w:rPr>
                <w:rFonts w:ascii="Calibri" w:hAnsi="Calibri"/>
                <w:b w:val="0"/>
                <w:i w:val="0"/>
                <w:color w:val="3C3C3C"/>
                <w:sz w:val="19"/>
              </w:rPr>
            </w:r>
          </w:p>
        </w:tc>
        <w:tc>
          <w:tcPr>
            <w:tcW w:type="dxa" w:w="1020"/>
            <w:shd w:val="clear" w:color="auto" w:fill="F2F5F9"/>
          </w:tcPr>
          <w:p>
            <w:pPr>
              <w:spacing w:before="200" w:after="200"/>
            </w:pPr>
            <w:r>
              <w:rPr>
                <w:rFonts w:ascii="Calibri" w:hAnsi="Calibri"/>
                <w:b w:val="0"/>
                <w:i w:val="0"/>
                <w:color w:val="3C3C3C"/>
                <w:sz w:val="19"/>
              </w:rPr>
            </w:r>
          </w:p>
        </w:tc>
      </w:tr>
      <w:tr>
        <w:tc>
          <w:tcPr>
            <w:tcW w:type="dxa" w:w="1701"/>
            <w:shd w:val="clear" w:color="auto" w:fill="FFFFFF"/>
          </w:tcPr>
          <w:p>
            <w:pPr>
              <w:spacing w:before="200" w:after="200"/>
            </w:pPr>
            <w:r>
              <w:rPr>
                <w:rFonts w:ascii="Calibri" w:hAnsi="Calibri"/>
                <w:b/>
                <w:i w:val="0"/>
                <w:color w:val="1A3A5C"/>
                <w:sz w:val="19"/>
              </w:rPr>
              <w:t>QA Review</w:t>
            </w:r>
          </w:p>
        </w:tc>
        <w:tc>
          <w:tcPr>
            <w:tcW w:type="dxa" w:w="2268"/>
            <w:shd w:val="clear" w:color="auto" w:fill="FFFFFF"/>
          </w:tcPr>
          <w:p>
            <w:pPr>
              <w:spacing w:before="200" w:after="200"/>
            </w:pPr>
            <w:r>
              <w:rPr>
                <w:rFonts w:ascii="Calibri" w:hAnsi="Calibri"/>
                <w:b w:val="0"/>
                <w:i w:val="0"/>
                <w:color w:val="3C3C3C"/>
                <w:sz w:val="19"/>
              </w:rPr>
              <w:t>Senior Underwriting Manager</w:t>
            </w:r>
          </w:p>
        </w:tc>
        <w:tc>
          <w:tcPr>
            <w:tcW w:type="dxa" w:w="2551"/>
            <w:shd w:val="clear" w:color="auto" w:fill="FFFFFF"/>
          </w:tcPr>
          <w:p>
            <w:pPr>
              <w:spacing w:before="200" w:after="200"/>
            </w:pPr>
            <w:r>
              <w:rPr>
                <w:rFonts w:ascii="Calibri" w:hAnsi="Calibri"/>
                <w:b w:val="0"/>
                <w:i w:val="0"/>
                <w:color w:val="3C3C3C"/>
                <w:sz w:val="19"/>
              </w:rPr>
              <w:t>Senior Underwriting Manager</w:t>
            </w:r>
          </w:p>
        </w:tc>
        <w:tc>
          <w:tcPr>
            <w:tcW w:type="dxa" w:w="1984"/>
            <w:shd w:val="clear" w:color="auto" w:fill="FFFFFF"/>
          </w:tcPr>
          <w:p>
            <w:pPr>
              <w:spacing w:before="200" w:after="200"/>
            </w:pPr>
            <w:r>
              <w:rPr>
                <w:rFonts w:ascii="Calibri" w:hAnsi="Calibri"/>
                <w:b w:val="0"/>
                <w:i w:val="0"/>
                <w:color w:val="3C3C3C"/>
                <w:sz w:val="19"/>
              </w:rPr>
            </w:r>
          </w:p>
        </w:tc>
        <w:tc>
          <w:tcPr>
            <w:tcW w:type="dxa" w:w="1020"/>
            <w:shd w:val="clear" w:color="auto" w:fill="FFFFFF"/>
          </w:tcPr>
          <w:p>
            <w:pPr>
              <w:spacing w:before="200" w:after="200"/>
            </w:pPr>
            <w:r>
              <w:rPr>
                <w:rFonts w:ascii="Calibri" w:hAnsi="Calibri"/>
                <w:b w:val="0"/>
                <w:i w:val="0"/>
                <w:color w:val="3C3C3C"/>
                <w:sz w:val="19"/>
              </w:rPr>
            </w:r>
          </w:p>
        </w:tc>
      </w:tr>
      <w:tr>
        <w:tc>
          <w:tcPr>
            <w:tcW w:type="dxa" w:w="1701"/>
            <w:shd w:val="clear" w:color="auto" w:fill="F2F5F9"/>
          </w:tcPr>
          <w:p>
            <w:pPr>
              <w:spacing w:before="200" w:after="200"/>
            </w:pPr>
            <w:r>
              <w:rPr>
                <w:rFonts w:ascii="Calibri" w:hAnsi="Calibri"/>
                <w:b/>
                <w:i w:val="0"/>
                <w:color w:val="1A3A5C"/>
                <w:sz w:val="19"/>
              </w:rPr>
              <w:t>Approval</w:t>
            </w:r>
          </w:p>
        </w:tc>
        <w:tc>
          <w:tcPr>
            <w:tcW w:type="dxa" w:w="2268"/>
            <w:shd w:val="clear" w:color="auto" w:fill="F2F5F9"/>
          </w:tcPr>
          <w:p>
            <w:pPr>
              <w:spacing w:before="200" w:after="200"/>
            </w:pPr>
            <w:r>
              <w:rPr>
                <w:rFonts w:ascii="Calibri" w:hAnsi="Calibri"/>
                <w:b w:val="0"/>
                <w:i w:val="0"/>
                <w:color w:val="3C3C3C"/>
                <w:sz w:val="19"/>
              </w:rPr>
              <w:t>Head of Real Estate Finance</w:t>
            </w:r>
          </w:p>
        </w:tc>
        <w:tc>
          <w:tcPr>
            <w:tcW w:type="dxa" w:w="2551"/>
            <w:shd w:val="clear" w:color="auto" w:fill="F2F5F9"/>
          </w:tcPr>
          <w:p>
            <w:pPr>
              <w:spacing w:before="200" w:after="200"/>
            </w:pPr>
            <w:r>
              <w:rPr>
                <w:rFonts w:ascii="Calibri" w:hAnsi="Calibri"/>
                <w:b w:val="0"/>
                <w:i w:val="0"/>
                <w:color w:val="3C3C3C"/>
                <w:sz w:val="19"/>
              </w:rPr>
              <w:t>Head of Real Estate Finance</w:t>
            </w:r>
          </w:p>
        </w:tc>
        <w:tc>
          <w:tcPr>
            <w:tcW w:type="dxa" w:w="1984"/>
            <w:shd w:val="clear" w:color="auto" w:fill="F2F5F9"/>
          </w:tcPr>
          <w:p>
            <w:pPr>
              <w:spacing w:before="200" w:after="200"/>
            </w:pPr>
            <w:r>
              <w:rPr>
                <w:rFonts w:ascii="Calibri" w:hAnsi="Calibri"/>
                <w:b w:val="0"/>
                <w:i w:val="0"/>
                <w:color w:val="3C3C3C"/>
                <w:sz w:val="19"/>
              </w:rPr>
            </w:r>
          </w:p>
        </w:tc>
        <w:tc>
          <w:tcPr>
            <w:tcW w:type="dxa" w:w="1020"/>
            <w:shd w:val="clear" w:color="auto" w:fill="F2F5F9"/>
          </w:tcPr>
          <w:p>
            <w:pPr>
              <w:spacing w:before="200" w:after="200"/>
            </w:pPr>
            <w:r>
              <w:rPr>
                <w:rFonts w:ascii="Calibri" w:hAnsi="Calibri"/>
                <w:b w:val="0"/>
                <w:i w:val="0"/>
                <w:color w:val="3C3C3C"/>
                <w:sz w:val="19"/>
              </w:rPr>
            </w:r>
          </w:p>
        </w:tc>
      </w:tr>
    </w:tbl>
    <w:p/>
    <w:p>
      <w:pPr>
        <w:spacing w:before="0" w:after="120"/>
      </w:pPr>
      <w:r>
        <w:rPr>
          <w:rFonts w:ascii="Calibri" w:hAnsi="Calibri"/>
          <w:color w:val="3C3C3C"/>
          <w:sz w:val="18"/>
        </w:rPr>
        <w:t>By signing above, the approver confirms that: (i) the findings set out in this report have been reviewed and understood; (ii) the remediation plan in Section 5 is accepted; and (iii) the platform may continue to be used in its current state for internal analysis purposes, subject to the open findings being tracked to closure.</w:t>
      </w:r>
    </w:p>
    <w:p/>
    <w:p>
      <w:pPr>
        <w:spacing w:before="400"/>
        <w:jc w:val="center"/>
      </w:pPr>
      <w:r>
        <w:rPr>
          <w:rFonts w:ascii="Calibri" w:hAnsi="Calibri"/>
          <w:i/>
          <w:color w:val="909AAA"/>
          <w:sz w:val="16"/>
        </w:rPr>
        <w:t>GRU Technical Audit Report v1.3  |  29 March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