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8CD7C7" w14:textId="77777777" w:rsidR="00946A0E" w:rsidRDefault="00000000">
      <w:pPr>
        <w:spacing w:after="40"/>
        <w:jc w:val="center"/>
      </w:pPr>
      <w:r>
        <w:rPr>
          <w:rFonts w:cs="Times New Roman"/>
          <w:b/>
          <w:bCs/>
          <w:sz w:val="24"/>
          <w:szCs w:val="24"/>
        </w:rPr>
        <w:t>SUNBY CREDTECH PRIVATE LIMITED</w:t>
      </w:r>
    </w:p>
    <w:p w14:paraId="4E3ED871" w14:textId="77777777" w:rsidR="00946A0E" w:rsidRDefault="00000000">
      <w:pPr>
        <w:spacing w:after="300"/>
        <w:jc w:val="center"/>
      </w:pPr>
      <w:r>
        <w:rPr>
          <w:rFonts w:cs="Times New Roman"/>
          <w:b/>
          <w:bCs/>
          <w:sz w:val="30"/>
          <w:szCs w:val="30"/>
        </w:rPr>
        <w:t>Cred2Tech Platform Rate Card</w:t>
      </w:r>
    </w:p>
    <w:p w14:paraId="5C023726" w14:textId="77777777" w:rsidR="00946A0E" w:rsidRDefault="00000000">
      <w:pPr>
        <w:spacing w:after="160" w:line="280" w:lineRule="auto"/>
        <w:jc w:val="both"/>
      </w:pPr>
      <w:r>
        <w:rPr>
          <w:rFonts w:cs="Times New Roman"/>
          <w:sz w:val="22"/>
          <w:szCs w:val="22"/>
        </w:rPr>
        <w:t>This Rate Card sets out the fees and charges applicable to Sourcing Partners for the use of the Cred2Tech Platform, and constitutes the “Platform Rate Card” referred to in the Sourcing Partner Agreement and the Terms of Use.</w:t>
      </w:r>
    </w:p>
    <w:p w14:paraId="5C0A8D50" w14:textId="77777777" w:rsidR="00946A0E" w:rsidRDefault="00000000">
      <w:pPr>
        <w:spacing w:after="160" w:line="280" w:lineRule="auto"/>
        <w:jc w:val="both"/>
      </w:pPr>
      <w:r>
        <w:rPr>
          <w:rFonts w:cs="Times New Roman"/>
          <w:sz w:val="22"/>
          <w:szCs w:val="22"/>
        </w:rPr>
        <w:t xml:space="preserve">All amounts stated below are in Indian Rupees (₹) and are </w:t>
      </w:r>
      <w:r>
        <w:rPr>
          <w:rFonts w:cs="Times New Roman"/>
          <w:b/>
          <w:bCs/>
          <w:sz w:val="22"/>
          <w:szCs w:val="22"/>
        </w:rPr>
        <w:t>exclusive of GST and other applicable taxes</w:t>
      </w:r>
      <w:r>
        <w:rPr>
          <w:rFonts w:cs="Times New Roman"/>
          <w:sz w:val="22"/>
          <w:szCs w:val="22"/>
        </w:rPr>
        <w:t>, which shall be charged additionally as per Applicable Law.</w:t>
      </w:r>
    </w:p>
    <w:p w14:paraId="1BDC0E1B" w14:textId="77777777" w:rsidR="00946A0E" w:rsidRDefault="00000000">
      <w:pPr>
        <w:spacing w:after="160" w:line="280" w:lineRule="auto"/>
        <w:jc w:val="both"/>
      </w:pPr>
      <w:r>
        <w:rPr>
          <w:rFonts w:cs="Times New Roman"/>
          <w:sz w:val="22"/>
          <w:szCs w:val="22"/>
        </w:rPr>
        <w:t>Cred2Tech reserves the right to revise this Rate Card from time to time, in accordance with the notice requirements set out in the Sourcing Partner Agreement and the Terms of Use.</w:t>
      </w:r>
    </w:p>
    <w:p w14:paraId="6415E5B1" w14:textId="77777777" w:rsidR="00946A0E" w:rsidRDefault="00000000">
      <w:pPr>
        <w:pStyle w:val="Heading1"/>
        <w:spacing w:before="320" w:after="160"/>
      </w:pPr>
      <w:r>
        <w:rPr>
          <w:b/>
          <w:bCs/>
          <w:sz w:val="26"/>
          <w:szCs w:val="26"/>
        </w:rPr>
        <w:t>1. Sourcing Partner Pricing</w:t>
      </w:r>
    </w:p>
    <w:p w14:paraId="3719A6DF" w14:textId="77777777" w:rsidR="00946A0E" w:rsidRDefault="00000000">
      <w:pPr>
        <w:pStyle w:val="Heading2"/>
        <w:spacing w:before="240" w:after="120"/>
      </w:pPr>
      <w:r>
        <w:rPr>
          <w:b/>
          <w:bCs/>
          <w:sz w:val="24"/>
          <w:szCs w:val="24"/>
        </w:rPr>
        <w:t>1.1 Per-Pull Report Charges</w:t>
      </w:r>
    </w:p>
    <w:p w14:paraId="6E237E3E" w14:textId="77777777" w:rsidR="00946A0E" w:rsidRDefault="00000000">
      <w:pPr>
        <w:spacing w:after="160" w:line="280" w:lineRule="auto"/>
        <w:jc w:val="both"/>
      </w:pPr>
      <w:r>
        <w:rPr>
          <w:rFonts w:cs="Times New Roman"/>
          <w:sz w:val="22"/>
          <w:szCs w:val="22"/>
        </w:rPr>
        <w:t>The following charges apply on a per-pull basis, debited from the Sourcing Partner’s Platform Wallet: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946A0E" w14:paraId="7E5021F7" w14:textId="77777777">
        <w:tblPrEx>
          <w:tblCellMar>
            <w:top w:w="0" w:type="dxa"/>
            <w:bottom w:w="0" w:type="dxa"/>
          </w:tblCellMar>
        </w:tblPrEx>
        <w:trPr>
          <w:tblHeader/>
        </w:trPr>
        <w:tc>
          <w:tcPr>
            <w:tcW w:w="54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62AF0A6E" w14:textId="77777777" w:rsidR="00946A0E" w:rsidRDefault="00000000">
            <w:r>
              <w:rPr>
                <w:rFonts w:cs="Times New Roman"/>
                <w:b/>
                <w:bCs/>
                <w:sz w:val="22"/>
                <w:szCs w:val="22"/>
              </w:rPr>
              <w:t>Pull Type</w:t>
            </w:r>
          </w:p>
        </w:tc>
        <w:tc>
          <w:tcPr>
            <w:tcW w:w="36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70300C2E" w14:textId="77777777" w:rsidR="00946A0E" w:rsidRDefault="00000000">
            <w:r>
              <w:rPr>
                <w:rFonts w:cs="Times New Roman"/>
                <w:b/>
                <w:bCs/>
                <w:sz w:val="22"/>
                <w:szCs w:val="22"/>
              </w:rPr>
              <w:t>Per-Pull Charge (₹, excl. GST)</w:t>
            </w:r>
          </w:p>
        </w:tc>
      </w:tr>
      <w:tr w:rsidR="00946A0E" w14:paraId="2738CC4D"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6333F817" w14:textId="77777777" w:rsidR="00946A0E" w:rsidRDefault="00000000">
            <w:r>
              <w:rPr>
                <w:rFonts w:cs="Times New Roman"/>
                <w:sz w:val="22"/>
                <w:szCs w:val="22"/>
              </w:rPr>
              <w:t>GST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5BC171D4" w14:textId="77777777" w:rsidR="00946A0E" w:rsidRDefault="00000000">
            <w:pPr>
              <w:jc w:val="right"/>
            </w:pPr>
            <w:r>
              <w:rPr>
                <w:rFonts w:cs="Times New Roman"/>
                <w:sz w:val="22"/>
                <w:szCs w:val="22"/>
              </w:rPr>
              <w:t>199.00</w:t>
            </w:r>
          </w:p>
        </w:tc>
      </w:tr>
      <w:tr w:rsidR="00946A0E" w14:paraId="5E2056AD"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49026A3B" w14:textId="77777777" w:rsidR="00946A0E" w:rsidRDefault="00000000">
            <w:r>
              <w:rPr>
                <w:rFonts w:cs="Times New Roman"/>
                <w:sz w:val="22"/>
                <w:szCs w:val="22"/>
              </w:rPr>
              <w:t>ITR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7CB2457A" w14:textId="77777777" w:rsidR="00946A0E" w:rsidRDefault="00000000">
            <w:pPr>
              <w:jc w:val="right"/>
            </w:pPr>
            <w:r>
              <w:rPr>
                <w:rFonts w:cs="Times New Roman"/>
                <w:sz w:val="22"/>
                <w:szCs w:val="22"/>
              </w:rPr>
              <w:t>99.00</w:t>
            </w:r>
          </w:p>
        </w:tc>
      </w:tr>
      <w:tr w:rsidR="00946A0E" w14:paraId="75242D66"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9AA0058" w14:textId="77777777" w:rsidR="00946A0E" w:rsidRDefault="00000000">
            <w:r>
              <w:rPr>
                <w:rFonts w:cs="Times New Roman"/>
                <w:sz w:val="22"/>
                <w:szCs w:val="22"/>
              </w:rPr>
              <w:t>Bank Statement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29DBED1D" w14:textId="77777777" w:rsidR="00946A0E" w:rsidRDefault="00000000">
            <w:pPr>
              <w:jc w:val="right"/>
            </w:pPr>
            <w:r>
              <w:rPr>
                <w:rFonts w:cs="Times New Roman"/>
                <w:sz w:val="22"/>
                <w:szCs w:val="22"/>
              </w:rPr>
              <w:t>99.00</w:t>
            </w:r>
          </w:p>
        </w:tc>
      </w:tr>
      <w:tr w:rsidR="00946A0E" w14:paraId="73A8635E"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07EEA748" w14:textId="77777777" w:rsidR="00946A0E" w:rsidRDefault="00000000">
            <w:r>
              <w:rPr>
                <w:rFonts w:cs="Times New Roman"/>
                <w:sz w:val="22"/>
                <w:szCs w:val="22"/>
              </w:rPr>
              <w:t>Bureau Report</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699426FB" w14:textId="77777777" w:rsidR="00946A0E" w:rsidRDefault="00000000">
            <w:pPr>
              <w:jc w:val="right"/>
            </w:pPr>
            <w:r>
              <w:rPr>
                <w:rFonts w:cs="Times New Roman"/>
                <w:sz w:val="22"/>
                <w:szCs w:val="22"/>
              </w:rPr>
              <w:t>99.00</w:t>
            </w:r>
          </w:p>
        </w:tc>
      </w:tr>
    </w:tbl>
    <w:p w14:paraId="1DF8F47A" w14:textId="77777777" w:rsidR="00946A0E" w:rsidRDefault="00946A0E">
      <w:pPr>
        <w:spacing w:before="200" w:after="200"/>
      </w:pPr>
    </w:p>
    <w:p w14:paraId="72C7B260" w14:textId="77777777" w:rsidR="00946A0E" w:rsidRDefault="00000000">
      <w:pPr>
        <w:pStyle w:val="Heading2"/>
        <w:spacing w:before="240" w:after="120"/>
      </w:pPr>
      <w:r>
        <w:rPr>
          <w:b/>
          <w:bCs/>
          <w:sz w:val="24"/>
          <w:szCs w:val="24"/>
        </w:rPr>
        <w:t>1.2 Bulk Wallet Recharge Discount</w:t>
      </w:r>
    </w:p>
    <w:p w14:paraId="721306B5" w14:textId="77777777" w:rsidR="00946A0E" w:rsidRDefault="00000000">
      <w:pPr>
        <w:spacing w:after="160" w:line="280" w:lineRule="auto"/>
        <w:jc w:val="both"/>
      </w:pPr>
      <w:r>
        <w:rPr>
          <w:rFonts w:cs="Times New Roman"/>
          <w:sz w:val="22"/>
          <w:szCs w:val="22"/>
        </w:rPr>
        <w:t>Sourcing Partners recharging their Platform Wallet in a single transaction are eligible for the following discount, applied to the full recharge amount on meeting the corresponding threshold: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946A0E" w14:paraId="11EC5BA1" w14:textId="77777777">
        <w:tblPrEx>
          <w:tblCellMar>
            <w:top w:w="0" w:type="dxa"/>
            <w:bottom w:w="0" w:type="dxa"/>
          </w:tblCellMar>
        </w:tblPrEx>
        <w:trPr>
          <w:tblHeader/>
        </w:trPr>
        <w:tc>
          <w:tcPr>
            <w:tcW w:w="54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5EF534EE" w14:textId="77777777" w:rsidR="00946A0E" w:rsidRDefault="00000000">
            <w:r>
              <w:rPr>
                <w:rFonts w:cs="Times New Roman"/>
                <w:b/>
                <w:bCs/>
                <w:sz w:val="22"/>
                <w:szCs w:val="22"/>
              </w:rPr>
              <w:t>Wallet Recharge Amount</w:t>
            </w:r>
          </w:p>
        </w:tc>
        <w:tc>
          <w:tcPr>
            <w:tcW w:w="36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7FFC6CF1" w14:textId="77777777" w:rsidR="00946A0E" w:rsidRDefault="00000000">
            <w:r>
              <w:rPr>
                <w:rFonts w:cs="Times New Roman"/>
                <w:b/>
                <w:bCs/>
                <w:sz w:val="22"/>
                <w:szCs w:val="22"/>
              </w:rPr>
              <w:t>Discount</w:t>
            </w:r>
          </w:p>
        </w:tc>
      </w:tr>
      <w:tr w:rsidR="00946A0E" w14:paraId="2E709971"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383EF8E" w14:textId="77777777" w:rsidR="00946A0E" w:rsidRDefault="00000000">
            <w:r>
              <w:rPr>
                <w:rFonts w:cs="Times New Roman"/>
                <w:sz w:val="22"/>
                <w:szCs w:val="22"/>
              </w:rPr>
              <w:t>₹5,000</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6789D9AC" w14:textId="77777777" w:rsidR="00946A0E" w:rsidRDefault="00000000">
            <w:pPr>
              <w:jc w:val="right"/>
            </w:pPr>
            <w:r>
              <w:rPr>
                <w:rFonts w:cs="Times New Roman"/>
                <w:sz w:val="22"/>
                <w:szCs w:val="22"/>
              </w:rPr>
              <w:t>5%</w:t>
            </w:r>
          </w:p>
        </w:tc>
      </w:tr>
      <w:tr w:rsidR="00946A0E" w14:paraId="67205FF4"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0BB447E" w14:textId="77777777" w:rsidR="00946A0E" w:rsidRDefault="00000000">
            <w:r>
              <w:rPr>
                <w:rFonts w:cs="Times New Roman"/>
                <w:sz w:val="22"/>
                <w:szCs w:val="22"/>
              </w:rPr>
              <w:t>₹10,000</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B3F5158" w14:textId="77777777" w:rsidR="00946A0E" w:rsidRDefault="00000000">
            <w:pPr>
              <w:jc w:val="right"/>
            </w:pPr>
            <w:r>
              <w:rPr>
                <w:rFonts w:cs="Times New Roman"/>
                <w:sz w:val="22"/>
                <w:szCs w:val="22"/>
              </w:rPr>
              <w:t>10%</w:t>
            </w:r>
          </w:p>
        </w:tc>
      </w:tr>
      <w:tr w:rsidR="00946A0E" w14:paraId="6952B7CC"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600DFC50" w14:textId="77777777" w:rsidR="00946A0E" w:rsidRDefault="00000000">
            <w:r>
              <w:rPr>
                <w:rFonts w:cs="Times New Roman"/>
                <w:sz w:val="22"/>
                <w:szCs w:val="22"/>
              </w:rPr>
              <w:t>₹20,000</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3957FC0" w14:textId="77777777" w:rsidR="00946A0E" w:rsidRDefault="00000000">
            <w:pPr>
              <w:jc w:val="right"/>
            </w:pPr>
            <w:r>
              <w:rPr>
                <w:rFonts w:cs="Times New Roman"/>
                <w:sz w:val="22"/>
                <w:szCs w:val="22"/>
              </w:rPr>
              <w:t>15%</w:t>
            </w:r>
          </w:p>
        </w:tc>
      </w:tr>
      <w:tr w:rsidR="00946A0E" w14:paraId="2858E35A"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2561FF27" w14:textId="77777777" w:rsidR="00946A0E" w:rsidRDefault="00000000">
            <w:r>
              <w:rPr>
                <w:rFonts w:cs="Times New Roman"/>
                <w:sz w:val="22"/>
                <w:szCs w:val="22"/>
              </w:rPr>
              <w:t>₹50,000</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B86402D" w14:textId="77777777" w:rsidR="00946A0E" w:rsidRDefault="00000000">
            <w:pPr>
              <w:jc w:val="right"/>
            </w:pPr>
            <w:r>
              <w:rPr>
                <w:rFonts w:cs="Times New Roman"/>
                <w:sz w:val="22"/>
                <w:szCs w:val="22"/>
              </w:rPr>
              <w:t>20%</w:t>
            </w:r>
          </w:p>
        </w:tc>
      </w:tr>
    </w:tbl>
    <w:p w14:paraId="7516C7D6" w14:textId="77777777" w:rsidR="00946A0E" w:rsidRDefault="00946A0E">
      <w:pPr>
        <w:spacing w:before="200" w:after="200"/>
      </w:pPr>
    </w:p>
    <w:p w14:paraId="05FD5C46" w14:textId="77777777" w:rsidR="00946A0E" w:rsidRDefault="00000000">
      <w:pPr>
        <w:pStyle w:val="Heading2"/>
        <w:spacing w:before="240" w:after="120"/>
      </w:pPr>
      <w:r>
        <w:rPr>
          <w:b/>
          <w:bCs/>
          <w:sz w:val="24"/>
          <w:szCs w:val="24"/>
        </w:rPr>
        <w:t>1.3 Sourcing Partner Workspace</w:t>
      </w:r>
    </w:p>
    <w:p w14:paraId="63C9A2BF" w14:textId="77777777" w:rsidR="00946A0E" w:rsidRDefault="00000000">
      <w:pPr>
        <w:spacing w:after="160" w:line="280" w:lineRule="auto"/>
        <w:jc w:val="both"/>
      </w:pPr>
      <w:r>
        <w:rPr>
          <w:rFonts w:cs="Times New Roman"/>
          <w:sz w:val="22"/>
          <w:szCs w:val="22"/>
        </w:rPr>
        <w:t xml:space="preserve">Access to the Sourcing Partner Workspace is provided free of charge until </w:t>
      </w:r>
      <w:r>
        <w:rPr>
          <w:rFonts w:cs="Times New Roman"/>
          <w:b/>
          <w:bCs/>
          <w:sz w:val="22"/>
          <w:szCs w:val="22"/>
        </w:rPr>
        <w:t>30 September 2027</w:t>
      </w:r>
      <w:r>
        <w:rPr>
          <w:rFonts w:cs="Times New Roman"/>
          <w:sz w:val="22"/>
          <w:szCs w:val="22"/>
        </w:rPr>
        <w:t xml:space="preserve">. With effect from 1 October 2027, continued access shall be charged at </w:t>
      </w:r>
      <w:r>
        <w:rPr>
          <w:rFonts w:cs="Times New Roman"/>
          <w:b/>
          <w:bCs/>
          <w:sz w:val="22"/>
          <w:szCs w:val="22"/>
        </w:rPr>
        <w:t>₹200 per month per Sourcing Partner</w:t>
      </w:r>
      <w:r>
        <w:rPr>
          <w:rFonts w:cs="Times New Roman"/>
          <w:sz w:val="22"/>
          <w:szCs w:val="22"/>
        </w:rPr>
        <w:t>.</w:t>
      </w:r>
    </w:p>
    <w:p w14:paraId="497577DE" w14:textId="77777777" w:rsidR="00946A0E" w:rsidRDefault="00000000">
      <w:pPr>
        <w:pStyle w:val="Heading2"/>
        <w:spacing w:before="240" w:after="120"/>
      </w:pPr>
      <w:r>
        <w:rPr>
          <w:b/>
          <w:bCs/>
          <w:sz w:val="24"/>
          <w:szCs w:val="24"/>
        </w:rPr>
        <w:t>1.4 Refund Policy</w:t>
      </w:r>
    </w:p>
    <w:p w14:paraId="3A844A81" w14:textId="77777777" w:rsidR="00946A0E" w:rsidRDefault="00000000">
      <w:pPr>
        <w:spacing w:after="160" w:line="280" w:lineRule="auto"/>
        <w:jc w:val="both"/>
      </w:pPr>
      <w:r>
        <w:rPr>
          <w:rFonts w:cs="Times New Roman"/>
          <w:sz w:val="22"/>
          <w:szCs w:val="22"/>
        </w:rPr>
        <w:lastRenderedPageBreak/>
        <w:t>Unused or unconsumed Platform Wallet credits may, at Cred2Tech’s discretion, be refunded to the Sourcing Partner’s original account of payment.</w:t>
      </w:r>
    </w:p>
    <w:p w14:paraId="002AFBF4" w14:textId="77777777" w:rsidR="00946A0E" w:rsidRDefault="00000000">
      <w:pPr>
        <w:spacing w:after="160" w:line="280" w:lineRule="auto"/>
        <w:jc w:val="both"/>
      </w:pPr>
      <w:r>
        <w:rPr>
          <w:rFonts w:cs="Times New Roman"/>
          <w:sz w:val="22"/>
          <w:szCs w:val="22"/>
        </w:rPr>
        <w:t xml:space="preserve">Any refund request must be raised from the Sourcing Partner’s registered email address to </w:t>
      </w:r>
      <w:r>
        <w:rPr>
          <w:rFonts w:cs="Times New Roman"/>
          <w:b/>
          <w:bCs/>
          <w:sz w:val="22"/>
          <w:szCs w:val="22"/>
        </w:rPr>
        <w:t>contact@cred2tech.com</w:t>
      </w:r>
      <w:r>
        <w:rPr>
          <w:rFonts w:cs="Times New Roman"/>
          <w:sz w:val="22"/>
          <w:szCs w:val="22"/>
        </w:rPr>
        <w:t>.</w:t>
      </w:r>
    </w:p>
    <w:p w14:paraId="0C105EE4" w14:textId="77777777" w:rsidR="00946A0E" w:rsidRDefault="00000000">
      <w:pPr>
        <w:spacing w:after="160" w:line="280" w:lineRule="auto"/>
        <w:jc w:val="both"/>
      </w:pPr>
      <w:r>
        <w:rPr>
          <w:rFonts w:cs="Times New Roman"/>
          <w:sz w:val="22"/>
          <w:szCs w:val="22"/>
        </w:rPr>
        <w:t xml:space="preserve">Approved refunds will be processed to the original account of payment within </w:t>
      </w:r>
      <w:r>
        <w:rPr>
          <w:rFonts w:cs="Times New Roman"/>
          <w:b/>
          <w:bCs/>
          <w:sz w:val="22"/>
          <w:szCs w:val="22"/>
        </w:rPr>
        <w:t>seven (7) business days</w:t>
      </w:r>
      <w:r>
        <w:rPr>
          <w:rFonts w:cs="Times New Roman"/>
          <w:sz w:val="22"/>
          <w:szCs w:val="22"/>
        </w:rPr>
        <w:t xml:space="preserve"> of the request.</w:t>
      </w:r>
    </w:p>
    <w:p w14:paraId="6B14FA7D" w14:textId="77777777" w:rsidR="00946A0E" w:rsidRDefault="00000000">
      <w:pPr>
        <w:pStyle w:val="Heading2"/>
        <w:spacing w:before="240" w:after="120"/>
      </w:pPr>
      <w:r>
        <w:rPr>
          <w:b/>
          <w:bCs/>
          <w:sz w:val="24"/>
          <w:szCs w:val="24"/>
        </w:rPr>
        <w:t>1.5 Discount Adjustment on Refund</w:t>
      </w:r>
    </w:p>
    <w:p w14:paraId="1EDA7554" w14:textId="77777777" w:rsidR="00946A0E" w:rsidRDefault="00000000">
      <w:pPr>
        <w:spacing w:after="160" w:line="280" w:lineRule="auto"/>
        <w:jc w:val="both"/>
      </w:pPr>
      <w:r>
        <w:rPr>
          <w:rFonts w:cs="Times New Roman"/>
          <w:sz w:val="22"/>
          <w:szCs w:val="22"/>
        </w:rPr>
        <w:t>Where a Sourcing Partner seeks a refund of the entire unused or unconsumed balance of Platform Wallet credit under Clause 1.4, the discount applied at the time of the original recharge shall be recalculated by reference to the Bulk Wallet Recharge Discount slab (Clause 1.2) corresponding to the amount of Platform Wallet credit actually consumed by the Sourcing Partner as on the date of the refund request (and not the original recharge amount), and the refund payable shall be calculated as follows:</w:t>
      </w:r>
    </w:p>
    <w:p w14:paraId="3DD3DFAC" w14:textId="77777777" w:rsidR="00946A0E" w:rsidRDefault="00000000">
      <w:pPr>
        <w:spacing w:after="160" w:line="280" w:lineRule="auto"/>
        <w:jc w:val="center"/>
      </w:pPr>
      <w:r>
        <w:rPr>
          <w:rFonts w:cs="Times New Roman"/>
          <w:b/>
          <w:bCs/>
          <w:i/>
          <w:iCs/>
          <w:sz w:val="22"/>
          <w:szCs w:val="22"/>
        </w:rPr>
        <w:t>Refund Amount = Amount Paid for the Recharge − [Amount Consumed × (1 − Discount Rate corresponding to the Amount Consumed)]</w:t>
      </w:r>
    </w:p>
    <w:p w14:paraId="0438A041" w14:textId="77777777" w:rsidR="00946A0E" w:rsidRDefault="00000000">
      <w:pPr>
        <w:spacing w:after="160" w:line="280" w:lineRule="auto"/>
        <w:jc w:val="both"/>
      </w:pPr>
      <w:r>
        <w:rPr>
          <w:rFonts w:cs="Times New Roman"/>
          <w:sz w:val="22"/>
          <w:szCs w:val="22"/>
        </w:rPr>
        <w:t>Provided that:</w:t>
      </w:r>
    </w:p>
    <w:p w14:paraId="0B689E21" w14:textId="77777777" w:rsidR="00946A0E" w:rsidRDefault="00000000">
      <w:pPr>
        <w:spacing w:after="160" w:line="280" w:lineRule="auto"/>
        <w:jc w:val="both"/>
      </w:pPr>
      <w:r>
        <w:rPr>
          <w:rFonts w:cs="Times New Roman"/>
          <w:sz w:val="22"/>
          <w:szCs w:val="22"/>
        </w:rPr>
        <w:t>(a) if the amount so calculated is a negative number, the refund payable shall be deemed to be nil, and no additional amount shall become payable by the Sourcing Partner to Cred2Tech on that account; and</w:t>
      </w:r>
    </w:p>
    <w:p w14:paraId="47871A86" w14:textId="77777777" w:rsidR="00946A0E" w:rsidRDefault="00000000">
      <w:pPr>
        <w:spacing w:after="160" w:line="280" w:lineRule="auto"/>
        <w:jc w:val="both"/>
      </w:pPr>
      <w:r>
        <w:rPr>
          <w:rFonts w:cs="Times New Roman"/>
          <w:sz w:val="22"/>
          <w:szCs w:val="22"/>
        </w:rPr>
        <w:t>(b) only the entire unused/unconsumed balance of Platform Wallet credit may be refunded under Clause 1.4; Cred2Tech shall not process a refund of part of the unused balance.</w:t>
      </w:r>
    </w:p>
    <w:p w14:paraId="25116BE9" w14:textId="77777777" w:rsidR="00946A0E" w:rsidRDefault="00000000">
      <w:pPr>
        <w:spacing w:after="160" w:line="280" w:lineRule="auto"/>
        <w:jc w:val="both"/>
      </w:pPr>
      <w:r>
        <w:rPr>
          <w:rFonts w:cs="Times New Roman"/>
          <w:i/>
          <w:iCs/>
          <w:sz w:val="22"/>
          <w:szCs w:val="22"/>
        </w:rPr>
        <w:t>Illustration: A Sourcing Partner recharges ₹10,000 and pays ₹9,000 after the 10% discount. If ₹2,000 is consumed before the balance is refunded, the consumed amount does not meet any discount slab (0% applicable), and the refund is ₹9,000 − (₹2,000 × 100%) = ₹7,000. If ₹5,000 is consumed, the 5% slab applies, and the refund is ₹9,000 − (₹5,000 × 95%) = ₹4,250. Separately, a Sourcing Partner who recharges ₹50,000 (20% discount, pays ₹40,000) and consumes ₹49,000 — still below the ₹50,000 slab, so only 15% applies — would compute to a refund of −₹1,650; per proviso (a), the refund payable is nil.</w:t>
      </w:r>
    </w:p>
    <w:p w14:paraId="28658C55" w14:textId="77777777" w:rsidR="00946A0E" w:rsidRDefault="00000000">
      <w:r>
        <w:br w:type="page"/>
      </w:r>
    </w:p>
    <w:p w14:paraId="5AC565AE" w14:textId="77777777" w:rsidR="00946A0E" w:rsidRDefault="00000000">
      <w:pPr>
        <w:pStyle w:val="Heading1"/>
        <w:spacing w:before="320" w:after="160"/>
      </w:pPr>
      <w:r>
        <w:rPr>
          <w:b/>
          <w:bCs/>
          <w:sz w:val="26"/>
          <w:szCs w:val="26"/>
        </w:rPr>
        <w:lastRenderedPageBreak/>
        <w:t>2. MSME Pricing (Direct Customer Segment)</w:t>
      </w:r>
    </w:p>
    <w:p w14:paraId="61DAA504" w14:textId="77777777" w:rsidR="00946A0E" w:rsidRDefault="00000000">
      <w:pPr>
        <w:spacing w:after="160" w:line="280" w:lineRule="auto"/>
        <w:jc w:val="both"/>
      </w:pPr>
      <w:r>
        <w:rPr>
          <w:rFonts w:cs="Times New Roman"/>
          <w:sz w:val="22"/>
          <w:szCs w:val="22"/>
        </w:rPr>
        <w:t>The following pricing applies to MSME customers served directly by Cred2Tech:</w:t>
      </w:r>
    </w:p>
    <w:p w14:paraId="1BF97E5F" w14:textId="253B318B" w:rsidR="00946A0E" w:rsidRDefault="00000000">
      <w:pPr>
        <w:spacing w:after="160" w:line="280" w:lineRule="auto"/>
        <w:jc w:val="both"/>
      </w:pPr>
      <w:r>
        <w:rPr>
          <w:rFonts w:cs="Times New Roman"/>
          <w:sz w:val="22"/>
          <w:szCs w:val="22"/>
        </w:rPr>
        <w:t xml:space="preserve">Per case: </w:t>
      </w:r>
      <w:r>
        <w:rPr>
          <w:rFonts w:cs="Times New Roman"/>
          <w:b/>
          <w:bCs/>
          <w:sz w:val="22"/>
          <w:szCs w:val="22"/>
        </w:rPr>
        <w:t>₹799 (Plus applicable GST)</w:t>
      </w:r>
      <w:r>
        <w:rPr>
          <w:rFonts w:cs="Times New Roman"/>
          <w:sz w:val="22"/>
          <w:szCs w:val="22"/>
        </w:rPr>
        <w:t>, covering the applicant and one co-applicant, inclusive of the following maximum pulls: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946A0E" w14:paraId="61F4CFA0" w14:textId="77777777">
        <w:tblPrEx>
          <w:tblCellMar>
            <w:top w:w="0" w:type="dxa"/>
            <w:bottom w:w="0" w:type="dxa"/>
          </w:tblCellMar>
        </w:tblPrEx>
        <w:trPr>
          <w:tblHeader/>
        </w:trPr>
        <w:tc>
          <w:tcPr>
            <w:tcW w:w="54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4D71B5E9" w14:textId="77777777" w:rsidR="00946A0E" w:rsidRDefault="00000000">
            <w:r>
              <w:rPr>
                <w:rFonts w:cs="Times New Roman"/>
                <w:b/>
                <w:bCs/>
                <w:sz w:val="22"/>
                <w:szCs w:val="22"/>
              </w:rPr>
              <w:t>Pull Type</w:t>
            </w:r>
          </w:p>
        </w:tc>
        <w:tc>
          <w:tcPr>
            <w:tcW w:w="36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1E5C9CB7" w14:textId="77777777" w:rsidR="00946A0E" w:rsidRDefault="00000000">
            <w:r>
              <w:rPr>
                <w:rFonts w:cs="Times New Roman"/>
                <w:b/>
                <w:bCs/>
                <w:sz w:val="22"/>
                <w:szCs w:val="22"/>
              </w:rPr>
              <w:t>Maximum Included per Case</w:t>
            </w:r>
          </w:p>
        </w:tc>
      </w:tr>
      <w:tr w:rsidR="00946A0E" w14:paraId="37D6F952"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07CE2158" w14:textId="77777777" w:rsidR="00946A0E" w:rsidRDefault="00000000">
            <w:r>
              <w:rPr>
                <w:rFonts w:cs="Times New Roman"/>
                <w:sz w:val="22"/>
                <w:szCs w:val="22"/>
              </w:rPr>
              <w:t>Bureau Report</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09E1D5E2" w14:textId="77777777" w:rsidR="00946A0E" w:rsidRDefault="00000000">
            <w:pPr>
              <w:jc w:val="right"/>
            </w:pPr>
            <w:r>
              <w:rPr>
                <w:rFonts w:cs="Times New Roman"/>
                <w:sz w:val="22"/>
                <w:szCs w:val="22"/>
              </w:rPr>
              <w:t>2</w:t>
            </w:r>
          </w:p>
        </w:tc>
      </w:tr>
      <w:tr w:rsidR="00946A0E" w14:paraId="63B3CABD"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4D279DCC" w14:textId="77777777" w:rsidR="00946A0E" w:rsidRDefault="00000000">
            <w:r>
              <w:rPr>
                <w:rFonts w:cs="Times New Roman"/>
                <w:sz w:val="22"/>
                <w:szCs w:val="22"/>
              </w:rPr>
              <w:t>Bank Statement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03DD813E" w14:textId="77777777" w:rsidR="00946A0E" w:rsidRDefault="00000000">
            <w:pPr>
              <w:jc w:val="right"/>
            </w:pPr>
            <w:r>
              <w:rPr>
                <w:rFonts w:cs="Times New Roman"/>
                <w:sz w:val="22"/>
                <w:szCs w:val="22"/>
              </w:rPr>
              <w:t>2</w:t>
            </w:r>
          </w:p>
        </w:tc>
      </w:tr>
      <w:tr w:rsidR="00946A0E" w14:paraId="0118869B"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03759CBD" w14:textId="77777777" w:rsidR="00946A0E" w:rsidRDefault="00000000">
            <w:r>
              <w:rPr>
                <w:rFonts w:cs="Times New Roman"/>
                <w:sz w:val="22"/>
                <w:szCs w:val="22"/>
              </w:rPr>
              <w:t>GST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520ABD99" w14:textId="77777777" w:rsidR="00946A0E" w:rsidRDefault="00000000">
            <w:pPr>
              <w:jc w:val="right"/>
            </w:pPr>
            <w:r>
              <w:rPr>
                <w:rFonts w:cs="Times New Roman"/>
                <w:sz w:val="22"/>
                <w:szCs w:val="22"/>
              </w:rPr>
              <w:t>1</w:t>
            </w:r>
          </w:p>
        </w:tc>
      </w:tr>
      <w:tr w:rsidR="00946A0E" w14:paraId="7CBC953A"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24F08AA1" w14:textId="77777777" w:rsidR="00946A0E" w:rsidRDefault="00000000">
            <w:r>
              <w:rPr>
                <w:rFonts w:cs="Times New Roman"/>
                <w:sz w:val="22"/>
                <w:szCs w:val="22"/>
              </w:rPr>
              <w:t>ITR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B02FD4F" w14:textId="77777777" w:rsidR="00946A0E" w:rsidRDefault="00000000">
            <w:pPr>
              <w:jc w:val="right"/>
            </w:pPr>
            <w:r>
              <w:rPr>
                <w:rFonts w:cs="Times New Roman"/>
                <w:sz w:val="22"/>
                <w:szCs w:val="22"/>
              </w:rPr>
              <w:t>2</w:t>
            </w:r>
          </w:p>
        </w:tc>
      </w:tr>
    </w:tbl>
    <w:p w14:paraId="69B5CC47" w14:textId="77777777" w:rsidR="00946A0E" w:rsidRDefault="00946A0E">
      <w:pPr>
        <w:spacing w:before="200" w:after="200"/>
      </w:pPr>
    </w:p>
    <w:p w14:paraId="7E6AA385" w14:textId="77777777" w:rsidR="00946A0E" w:rsidRDefault="00000000">
      <w:pPr>
        <w:spacing w:after="160" w:line="280" w:lineRule="auto"/>
        <w:jc w:val="both"/>
      </w:pPr>
      <w:r>
        <w:rPr>
          <w:rFonts w:cs="Times New Roman"/>
          <w:sz w:val="22"/>
          <w:szCs w:val="22"/>
        </w:rPr>
        <w:t xml:space="preserve">Additional Co-Applicant Charge: </w:t>
      </w:r>
      <w:r>
        <w:rPr>
          <w:rFonts w:cs="Times New Roman"/>
          <w:b/>
          <w:bCs/>
          <w:sz w:val="22"/>
          <w:szCs w:val="22"/>
        </w:rPr>
        <w:t>₹400 (Plus applicable GST)</w:t>
      </w:r>
      <w:r>
        <w:rPr>
          <w:rFonts w:cs="Times New Roman"/>
          <w:sz w:val="22"/>
          <w:szCs w:val="22"/>
        </w:rPr>
        <w:t xml:space="preserve"> shall apply for each additional co-applicant added to a case, beyond the applicant and the one co-applicant already covered by the per-case charge above. Each additional co-applicant carries the following incremental pull allowance: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600"/>
      </w:tblGrid>
      <w:tr w:rsidR="00946A0E" w14:paraId="02282689" w14:textId="77777777">
        <w:tblPrEx>
          <w:tblCellMar>
            <w:top w:w="0" w:type="dxa"/>
            <w:bottom w:w="0" w:type="dxa"/>
          </w:tblCellMar>
        </w:tblPrEx>
        <w:trPr>
          <w:tblHeader/>
        </w:trPr>
        <w:tc>
          <w:tcPr>
            <w:tcW w:w="54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5C101C73" w14:textId="77777777" w:rsidR="00946A0E" w:rsidRDefault="00000000">
            <w:r>
              <w:rPr>
                <w:rFonts w:cs="Times New Roman"/>
                <w:b/>
                <w:bCs/>
                <w:sz w:val="22"/>
                <w:szCs w:val="22"/>
              </w:rPr>
              <w:t>Pull Type</w:t>
            </w:r>
          </w:p>
        </w:tc>
        <w:tc>
          <w:tcPr>
            <w:tcW w:w="3600" w:type="dxa"/>
            <w:tcBorders>
              <w:top w:val="single" w:sz="2" w:space="0" w:color="000000"/>
              <w:left w:val="single" w:sz="2" w:space="0" w:color="000000"/>
              <w:bottom w:val="single" w:sz="2" w:space="0" w:color="000000"/>
              <w:right w:val="single" w:sz="2" w:space="0" w:color="000000"/>
            </w:tcBorders>
            <w:shd w:val="clear" w:color="auto" w:fill="D9D9D9"/>
            <w:tcMar>
              <w:top w:w="100" w:type="dxa"/>
              <w:left w:w="120" w:type="dxa"/>
              <w:bottom w:w="100" w:type="dxa"/>
              <w:right w:w="120" w:type="dxa"/>
            </w:tcMar>
            <w:vAlign w:val="center"/>
          </w:tcPr>
          <w:p w14:paraId="712060A2" w14:textId="77777777" w:rsidR="00946A0E" w:rsidRDefault="00000000">
            <w:r>
              <w:rPr>
                <w:rFonts w:cs="Times New Roman"/>
                <w:b/>
                <w:bCs/>
                <w:sz w:val="22"/>
                <w:szCs w:val="22"/>
              </w:rPr>
              <w:t>Additional Pulls per Extra Co-Applicant</w:t>
            </w:r>
          </w:p>
        </w:tc>
      </w:tr>
      <w:tr w:rsidR="00946A0E" w14:paraId="00ECD476"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595AF6A9" w14:textId="77777777" w:rsidR="00946A0E" w:rsidRDefault="00000000">
            <w:r>
              <w:rPr>
                <w:rFonts w:cs="Times New Roman"/>
                <w:sz w:val="22"/>
                <w:szCs w:val="22"/>
              </w:rPr>
              <w:t>Bureau Report</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1B5A7A3" w14:textId="77777777" w:rsidR="00946A0E" w:rsidRDefault="00000000">
            <w:pPr>
              <w:jc w:val="right"/>
            </w:pPr>
            <w:r>
              <w:rPr>
                <w:rFonts w:cs="Times New Roman"/>
                <w:sz w:val="22"/>
                <w:szCs w:val="22"/>
              </w:rPr>
              <w:t>1</w:t>
            </w:r>
          </w:p>
        </w:tc>
      </w:tr>
      <w:tr w:rsidR="00946A0E" w14:paraId="0AB33149"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89F67D8" w14:textId="77777777" w:rsidR="00946A0E" w:rsidRDefault="00000000">
            <w:r>
              <w:rPr>
                <w:rFonts w:cs="Times New Roman"/>
                <w:sz w:val="22"/>
                <w:szCs w:val="22"/>
              </w:rPr>
              <w:t>Bank Statement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65F8D0E" w14:textId="77777777" w:rsidR="00946A0E" w:rsidRDefault="00000000">
            <w:pPr>
              <w:jc w:val="right"/>
            </w:pPr>
            <w:r>
              <w:rPr>
                <w:rFonts w:cs="Times New Roman"/>
                <w:sz w:val="22"/>
                <w:szCs w:val="22"/>
              </w:rPr>
              <w:t>2</w:t>
            </w:r>
          </w:p>
        </w:tc>
      </w:tr>
      <w:tr w:rsidR="00946A0E" w14:paraId="3948DAAC"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7767B90" w14:textId="77777777" w:rsidR="00946A0E" w:rsidRDefault="00000000">
            <w:r>
              <w:rPr>
                <w:rFonts w:cs="Times New Roman"/>
                <w:sz w:val="22"/>
                <w:szCs w:val="22"/>
              </w:rPr>
              <w:t>GST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76F0613" w14:textId="77777777" w:rsidR="00946A0E" w:rsidRDefault="00000000">
            <w:pPr>
              <w:jc w:val="right"/>
            </w:pPr>
            <w:r>
              <w:rPr>
                <w:rFonts w:cs="Times New Roman"/>
                <w:sz w:val="22"/>
                <w:szCs w:val="22"/>
              </w:rPr>
              <w:t>1</w:t>
            </w:r>
          </w:p>
        </w:tc>
      </w:tr>
      <w:tr w:rsidR="00946A0E" w14:paraId="7DA2AEE2" w14:textId="77777777">
        <w:tblPrEx>
          <w:tblCellMar>
            <w:top w:w="0" w:type="dxa"/>
            <w:bottom w:w="0" w:type="dxa"/>
          </w:tblCellMar>
        </w:tblPrEx>
        <w:tc>
          <w:tcPr>
            <w:tcW w:w="54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3AF9D52C" w14:textId="77777777" w:rsidR="00946A0E" w:rsidRDefault="00000000">
            <w:r>
              <w:rPr>
                <w:rFonts w:cs="Times New Roman"/>
                <w:sz w:val="22"/>
                <w:szCs w:val="22"/>
              </w:rPr>
              <w:t>ITR Analysis</w:t>
            </w:r>
          </w:p>
        </w:tc>
        <w:tc>
          <w:tcPr>
            <w:tcW w:w="3600" w:type="dxa"/>
            <w:tcBorders>
              <w:top w:val="single" w:sz="2" w:space="0" w:color="000000"/>
              <w:left w:val="single" w:sz="2" w:space="0" w:color="000000"/>
              <w:bottom w:val="single" w:sz="2" w:space="0" w:color="000000"/>
              <w:right w:val="single" w:sz="2" w:space="0" w:color="000000"/>
            </w:tcBorders>
            <w:tcMar>
              <w:top w:w="100" w:type="dxa"/>
              <w:left w:w="120" w:type="dxa"/>
              <w:bottom w:w="100" w:type="dxa"/>
              <w:right w:w="120" w:type="dxa"/>
            </w:tcMar>
            <w:vAlign w:val="center"/>
          </w:tcPr>
          <w:p w14:paraId="1D73C6EA" w14:textId="77777777" w:rsidR="00946A0E" w:rsidRDefault="00000000">
            <w:pPr>
              <w:jc w:val="right"/>
            </w:pPr>
            <w:r>
              <w:rPr>
                <w:rFonts w:cs="Times New Roman"/>
                <w:sz w:val="22"/>
                <w:szCs w:val="22"/>
              </w:rPr>
              <w:t>1</w:t>
            </w:r>
          </w:p>
        </w:tc>
      </w:tr>
    </w:tbl>
    <w:p w14:paraId="3B66DBE1" w14:textId="6AE86587" w:rsidR="00946A0E" w:rsidRDefault="00946A0E">
      <w:pPr>
        <w:spacing w:after="160" w:line="280" w:lineRule="auto"/>
        <w:jc w:val="both"/>
      </w:pPr>
    </w:p>
    <w:sectPr w:rsidR="00946A0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B95D69"/>
    <w:multiLevelType w:val="hybridMultilevel"/>
    <w:tmpl w:val="9066080C"/>
    <w:lvl w:ilvl="0" w:tplc="13E459CC">
      <w:start w:val="1"/>
      <w:numFmt w:val="bullet"/>
      <w:lvlText w:val="●"/>
      <w:lvlJc w:val="left"/>
      <w:pPr>
        <w:ind w:left="720" w:hanging="360"/>
      </w:pPr>
    </w:lvl>
    <w:lvl w:ilvl="1" w:tplc="741AA3CC">
      <w:start w:val="1"/>
      <w:numFmt w:val="bullet"/>
      <w:lvlText w:val="○"/>
      <w:lvlJc w:val="left"/>
      <w:pPr>
        <w:ind w:left="1440" w:hanging="360"/>
      </w:pPr>
    </w:lvl>
    <w:lvl w:ilvl="2" w:tplc="6F6CFAD2">
      <w:start w:val="1"/>
      <w:numFmt w:val="bullet"/>
      <w:lvlText w:val="■"/>
      <w:lvlJc w:val="left"/>
      <w:pPr>
        <w:ind w:left="2160" w:hanging="360"/>
      </w:pPr>
    </w:lvl>
    <w:lvl w:ilvl="3" w:tplc="CEC02888">
      <w:start w:val="1"/>
      <w:numFmt w:val="bullet"/>
      <w:lvlText w:val="●"/>
      <w:lvlJc w:val="left"/>
      <w:pPr>
        <w:ind w:left="2880" w:hanging="360"/>
      </w:pPr>
    </w:lvl>
    <w:lvl w:ilvl="4" w:tplc="706EB850">
      <w:start w:val="1"/>
      <w:numFmt w:val="bullet"/>
      <w:lvlText w:val="○"/>
      <w:lvlJc w:val="left"/>
      <w:pPr>
        <w:ind w:left="3600" w:hanging="360"/>
      </w:pPr>
    </w:lvl>
    <w:lvl w:ilvl="5" w:tplc="8CAAC26E">
      <w:start w:val="1"/>
      <w:numFmt w:val="bullet"/>
      <w:lvlText w:val="■"/>
      <w:lvlJc w:val="left"/>
      <w:pPr>
        <w:ind w:left="4320" w:hanging="360"/>
      </w:pPr>
    </w:lvl>
    <w:lvl w:ilvl="6" w:tplc="7204702A">
      <w:start w:val="1"/>
      <w:numFmt w:val="bullet"/>
      <w:lvlText w:val="●"/>
      <w:lvlJc w:val="left"/>
      <w:pPr>
        <w:ind w:left="5040" w:hanging="360"/>
      </w:pPr>
    </w:lvl>
    <w:lvl w:ilvl="7" w:tplc="8D34A0BE">
      <w:start w:val="1"/>
      <w:numFmt w:val="bullet"/>
      <w:lvlText w:val="●"/>
      <w:lvlJc w:val="left"/>
      <w:pPr>
        <w:ind w:left="5760" w:hanging="360"/>
      </w:pPr>
    </w:lvl>
    <w:lvl w:ilvl="8" w:tplc="4BD22842">
      <w:start w:val="1"/>
      <w:numFmt w:val="bullet"/>
      <w:lvlText w:val="●"/>
      <w:lvlJc w:val="left"/>
      <w:pPr>
        <w:ind w:left="6480" w:hanging="360"/>
      </w:pPr>
    </w:lvl>
  </w:abstractNum>
  <w:num w:numId="1" w16cid:durableId="10193562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A0E"/>
    <w:rsid w:val="00284BC5"/>
    <w:rsid w:val="00946A0E"/>
    <w:rsid w:val="00B92D5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C9D19EF"/>
  <w15:docId w15:val="{A9F3C2D7-5E86-6144-9E74-F46D45504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669</Words>
  <Characters>3622</Characters>
  <Application>Microsoft Office Word</Application>
  <DocSecurity>0</DocSecurity>
  <Lines>84</Lines>
  <Paragraphs>59</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Bobby Thomas</cp:lastModifiedBy>
  <cp:revision>2</cp:revision>
  <dcterms:created xsi:type="dcterms:W3CDTF">2026-09-10T07:56:00Z</dcterms:created>
  <dcterms:modified xsi:type="dcterms:W3CDTF">2026-09-10T08:05:00Z</dcterms:modified>
</cp:coreProperties>
</file>