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77558" w14:textId="15EE9E56" w:rsidR="00B87E4A" w:rsidRDefault="007B1282" w:rsidP="00EC7ABB">
      <w:pPr>
        <w:pStyle w:val="Ttulo1"/>
      </w:pPr>
      <w:r w:rsidRPr="007B1282">
        <w:t xml:space="preserve">Análisis Exploratorio de Datos </w:t>
      </w:r>
    </w:p>
    <w:p w14:paraId="4ED38CBB" w14:textId="77777777" w:rsidR="00886A95" w:rsidRDefault="00886A95" w:rsidP="00886A95">
      <w:pPr>
        <w:pStyle w:val="Ttulo2"/>
      </w:pPr>
      <w:r w:rsidRPr="00886A95">
        <w:t>Composición de las Fuentes de Renta y su Dimensión Política</w:t>
      </w:r>
    </w:p>
    <w:p w14:paraId="7155E767" w14:textId="5C29E8C4" w:rsidR="00B87E4A" w:rsidRDefault="00886A95" w:rsidP="00886A95">
      <w:r w:rsidRPr="00886A95">
        <w:t>Para concluir el bloque de indicadores condicionados por el secreto estadístico, se analizan las fuentes de ingresos municipales. Esta desagregación es fundamental, ya que la prevalencia de pensiones frente a salarios puede señalar clivajes electorales profundos: desde un voto orientado a la estabilidad del sistema público de previsión social hasta uno más sensible a las dinámicas del mercado laboral y la competitividad económica.</w:t>
      </w:r>
    </w:p>
    <w:p w14:paraId="33AB4E4D" w14:textId="6C23B1C4" w:rsidR="00CF6DFB" w:rsidRDefault="00F66102" w:rsidP="00A8383C">
      <w:r>
        <w:t>[</w:t>
      </w:r>
      <w:proofErr w:type="spellStart"/>
      <w:r w:rsidRPr="00F66102">
        <w:t>imagenes_EDA</w:t>
      </w:r>
      <w:proofErr w:type="spellEnd"/>
      <w:r w:rsidRPr="00F66102">
        <w:t>\Barras_tipos_ingresos.png</w:t>
      </w:r>
      <w:r>
        <w:t>] [</w:t>
      </w:r>
      <w:proofErr w:type="spellStart"/>
      <w:r w:rsidRPr="00F66102">
        <w:t>imagenes_EDA</w:t>
      </w:r>
      <w:proofErr w:type="spellEnd"/>
      <w:r w:rsidRPr="00F66102">
        <w:t>\Boxplot_tipos_ingresos.png</w:t>
      </w:r>
      <w:r>
        <w:t>]</w:t>
      </w:r>
    </w:p>
    <w:p w14:paraId="0F65BC1F" w14:textId="77777777" w:rsidR="000418E8" w:rsidRDefault="000418E8" w:rsidP="00A8383C"/>
    <w:p w14:paraId="680D7630" w14:textId="77777777" w:rsidR="00886A95" w:rsidRPr="00886A95" w:rsidRDefault="00886A95" w:rsidP="00886A95">
      <w:r w:rsidRPr="00886A95">
        <w:t xml:space="preserve">La distribución del </w:t>
      </w:r>
      <w:r w:rsidRPr="00886A95">
        <w:rPr>
          <w:b/>
          <w:bCs/>
        </w:rPr>
        <w:t>Porcentaje Medio de Ingresos</w:t>
      </w:r>
      <w:r w:rsidRPr="00886A95">
        <w:t xml:space="preserve"> actúa como un indicador del promedio nacional y revela una jerarquía clara: España es, eminentemente, una economía basada en el trabajo. Los salarios constituyen el 52,6% de los ingresos medios, seguidos por las pensiones con un 26,9%. Otras fuentes, como las prestaciones por desempleo o las ayudas sociales, aparecen como componentes residuales que no alcanzan el 5% del peso total.</w:t>
      </w:r>
    </w:p>
    <w:p w14:paraId="2321E830" w14:textId="267D4DC0" w:rsidR="000418E8" w:rsidRPr="000418E8" w:rsidRDefault="00886A95" w:rsidP="00886A95">
      <w:r w:rsidRPr="00886A95">
        <w:t xml:space="preserve">Sin embargo, </w:t>
      </w:r>
      <w:r>
        <w:t xml:space="preserve">el </w:t>
      </w:r>
      <w:proofErr w:type="spellStart"/>
      <w:r w:rsidRPr="00886A95">
        <w:rPr>
          <w:i/>
          <w:iCs/>
        </w:rPr>
        <w:t>boxplot</w:t>
      </w:r>
      <w:proofErr w:type="spellEnd"/>
      <w:r w:rsidRPr="00886A95">
        <w:t xml:space="preserve"> revela que esta uniformidad es solo aparente. Aunque la mediana del salario es mayoritaria, presenta una </w:t>
      </w:r>
      <w:r w:rsidRPr="00886A95">
        <w:rPr>
          <w:b/>
          <w:bCs/>
        </w:rPr>
        <w:t>volatilidad intermunicipal</w:t>
      </w:r>
      <w:r w:rsidRPr="00886A95">
        <w:t xml:space="preserve"> extrema. Es especialmente significativo el comportamiento de las pensiones y otras rentas: a pesar de tener medianas bajas, el gráfico muestra una alta densidad de </w:t>
      </w:r>
      <w:proofErr w:type="spellStart"/>
      <w:r w:rsidRPr="00886A95">
        <w:rPr>
          <w:i/>
          <w:iCs/>
        </w:rPr>
        <w:t>outliers</w:t>
      </w:r>
      <w:proofErr w:type="spellEnd"/>
      <w:r w:rsidRPr="00886A95">
        <w:t xml:space="preserve"> en el decil superior. Esto confirma la existencia de municipios con naturalezas económicas opuestas; verdaderas "islas" demográficas donde la dependencia de la prestación pública o de las rentas patrimoniales anula la relevancia del mercado laboral privado.</w:t>
      </w:r>
    </w:p>
    <w:p w14:paraId="30E2E4F7" w14:textId="3F0E28F5" w:rsidR="00F66102" w:rsidRDefault="00886A95" w:rsidP="00886A95">
      <w:pPr>
        <w:pStyle w:val="Ttulo3"/>
      </w:pPr>
      <w:r w:rsidRPr="00886A95">
        <w:t>Segmentación según Tamaño del Municipio</w:t>
      </w:r>
    </w:p>
    <w:p w14:paraId="491612DD" w14:textId="25B417AC" w:rsidR="000418E8" w:rsidRDefault="000418E8" w:rsidP="00A8383C">
      <w:r>
        <w:t>[</w:t>
      </w:r>
      <w:proofErr w:type="spellStart"/>
      <w:r w:rsidRPr="000418E8">
        <w:t>imagenes_EDA</w:t>
      </w:r>
      <w:proofErr w:type="spellEnd"/>
      <w:r w:rsidRPr="000418E8">
        <w:t>\tipos_ingresos_municipios.png</w:t>
      </w:r>
      <w:r>
        <w:t>]</w:t>
      </w:r>
    </w:p>
    <w:p w14:paraId="51E623BF" w14:textId="77777777" w:rsidR="00886A95" w:rsidRDefault="00886A95" w:rsidP="00A8383C"/>
    <w:p w14:paraId="7BC3F2BF" w14:textId="2E1045DD" w:rsidR="009261D4" w:rsidRPr="009261D4" w:rsidRDefault="00886A95" w:rsidP="00886A95">
      <w:r w:rsidRPr="00886A95">
        <w:t>Al analizar la estructura de ingresos por rango poblacional, se observa una tendencia clara: el crecimiento del municipio correlaciona con una estructura económica más predecible y centrada en el salario.</w:t>
      </w:r>
    </w:p>
    <w:p w14:paraId="27447B48" w14:textId="6858CE88" w:rsidR="009261D4" w:rsidRPr="009261D4" w:rsidRDefault="00886A95" w:rsidP="00886A95">
      <w:pPr>
        <w:numPr>
          <w:ilvl w:val="0"/>
          <w:numId w:val="3"/>
        </w:numPr>
      </w:pPr>
      <w:r w:rsidRPr="00886A95">
        <w:rPr>
          <w:b/>
          <w:bCs/>
        </w:rPr>
        <w:t xml:space="preserve">Municipios de baja densidad (&lt;100 a 1.000 hab.): </w:t>
      </w:r>
      <w:r w:rsidRPr="00886A95">
        <w:t>Es donde reside la mayor volatilidad económica. La cuota salarial es sensiblemente inferior y la dependencia de las pensiones es mucho más elevada. En los núcleos de menos de 100 habitantes, la brecha entre salario y pensiones se estrecha críticamente, reflejando el envejecimiento demográfico de la "España vaciada"</w:t>
      </w:r>
      <w:r w:rsidR="009261D4" w:rsidRPr="00886A95">
        <w:t>.</w:t>
      </w:r>
    </w:p>
    <w:p w14:paraId="093A303B" w14:textId="7E0841D2" w:rsidR="009261D4" w:rsidRDefault="00886A95" w:rsidP="00886A95">
      <w:pPr>
        <w:numPr>
          <w:ilvl w:val="0"/>
          <w:numId w:val="3"/>
        </w:numPr>
      </w:pPr>
      <w:r w:rsidRPr="00886A95">
        <w:rPr>
          <w:b/>
          <w:bCs/>
        </w:rPr>
        <w:lastRenderedPageBreak/>
        <w:t xml:space="preserve">Áreas Metropolitanas (&gt;100.000 a &gt;500.000 hab.): </w:t>
      </w:r>
      <w:r w:rsidRPr="00886A95">
        <w:t>El escenario se invierte. El salario se dispara por encima del 60% y la dispersión se reduce drásticamente. Son entornos de ingresos homogéneos, estrechamente vinculados a la actividad profesional y al sector servicios avanzado</w:t>
      </w:r>
      <w:r w:rsidR="009261D4" w:rsidRPr="00886A95">
        <w:t>.</w:t>
      </w:r>
    </w:p>
    <w:p w14:paraId="2194BD3E" w14:textId="77777777" w:rsidR="00886A95" w:rsidRPr="009261D4" w:rsidRDefault="00886A95" w:rsidP="00886A95">
      <w:pPr>
        <w:numPr>
          <w:ilvl w:val="0"/>
          <w:numId w:val="3"/>
        </w:numPr>
      </w:pPr>
    </w:p>
    <w:p w14:paraId="2612AFC5" w14:textId="77777777" w:rsidR="00886A95" w:rsidRDefault="009261D4" w:rsidP="00886A95">
      <w:pPr>
        <w:rPr>
          <w:b/>
          <w:bCs/>
        </w:rPr>
      </w:pPr>
      <w:r w:rsidRPr="009261D4">
        <w:rPr>
          <w:b/>
          <w:bCs/>
        </w:rPr>
        <w:t>Posible</w:t>
      </w:r>
      <w:r w:rsidR="00886A95">
        <w:rPr>
          <w:b/>
          <w:bCs/>
        </w:rPr>
        <w:t>s</w:t>
      </w:r>
      <w:r w:rsidRPr="009261D4">
        <w:rPr>
          <w:b/>
          <w:bCs/>
        </w:rPr>
        <w:t xml:space="preserve"> </w:t>
      </w:r>
      <w:r w:rsidR="00886A95" w:rsidRPr="00886A95">
        <w:rPr>
          <w:b/>
          <w:bCs/>
        </w:rPr>
        <w:t>Implicaciones para la Modelización Electoral</w:t>
      </w:r>
    </w:p>
    <w:p w14:paraId="2B870CD3" w14:textId="1F65F91E" w:rsidR="009261D4" w:rsidRPr="009261D4" w:rsidRDefault="009261D4" w:rsidP="00886A95">
      <w:r w:rsidRPr="009261D4">
        <w:t>Esta segmentación por tamaños sugiere dos frentes de batalla electoral muy distintos:</w:t>
      </w:r>
    </w:p>
    <w:p w14:paraId="1C5FC479" w14:textId="77777777" w:rsidR="00886A95" w:rsidRPr="00886A95" w:rsidRDefault="00886A95" w:rsidP="00886A95">
      <w:pPr>
        <w:numPr>
          <w:ilvl w:val="0"/>
          <w:numId w:val="5"/>
        </w:numPr>
      </w:pPr>
      <w:r w:rsidRPr="00886A95">
        <w:rPr>
          <w:b/>
          <w:bCs/>
        </w:rPr>
        <w:t xml:space="preserve">El "Voto Senior" y la Seguridad Social: </w:t>
      </w:r>
      <w:r w:rsidRPr="00886A95">
        <w:t>En municipios pequeños, donde las pensiones representan el eje vital (con medianas que rozan el 40%), el electorado muestra una sensibilidad extrema a los mensajes sobre la sostenibilidad del sistema público de previsión. La supervivencia económica depende directamente del Estado, lo que suele traducirse en un voto que prima la seguridad y la aversión al riesgo institucional.</w:t>
      </w:r>
    </w:p>
    <w:p w14:paraId="210106BD" w14:textId="77777777" w:rsidR="00886A95" w:rsidRPr="00886A95" w:rsidRDefault="00886A95" w:rsidP="00886A95">
      <w:pPr>
        <w:numPr>
          <w:ilvl w:val="0"/>
          <w:numId w:val="5"/>
        </w:numPr>
      </w:pPr>
      <w:r w:rsidRPr="00886A95">
        <w:rPr>
          <w:b/>
          <w:bCs/>
        </w:rPr>
        <w:t xml:space="preserve">El "Voto Activo" Urbano: </w:t>
      </w:r>
      <w:r w:rsidRPr="00886A95">
        <w:t>En las metrópolis, el motor es el salario. Este electorado es más receptivo a políticas de presión fiscal (IRPF), coste de la vida y dinamismo empresarial. En estas zonas, los programas centrados exclusivamente en las pensiones pueden percibirse como secundarios frente a la gestión de la economía productiva.</w:t>
      </w:r>
    </w:p>
    <w:p w14:paraId="3F6C3DA7" w14:textId="77777777" w:rsidR="00886A95" w:rsidRPr="00886A95" w:rsidRDefault="00886A95" w:rsidP="00886A95">
      <w:pPr>
        <w:numPr>
          <w:ilvl w:val="0"/>
          <w:numId w:val="5"/>
        </w:numPr>
      </w:pPr>
      <w:r w:rsidRPr="00886A95">
        <w:rPr>
          <w:b/>
          <w:bCs/>
        </w:rPr>
        <w:t xml:space="preserve">Transversalidad de las Rentas de Capital: </w:t>
      </w:r>
      <w:r w:rsidRPr="00886A95">
        <w:t>Resulta notable que la categoría de "otros ingresos" (rentas y capital) mantenga valores atípicos constantes independientemente del tamaño del municipio. Esto sugiere un perfil de votante con alto patrimonio distribuido de forma ubicua, cuya motivación de voto podría estar ligada a la fiscalidad patrimonial, con independencia de su entorno geográfico.</w:t>
      </w:r>
    </w:p>
    <w:p w14:paraId="368603F7" w14:textId="77777777" w:rsidR="00886A95" w:rsidRPr="00133CE0" w:rsidRDefault="00886A95" w:rsidP="00886A95">
      <w:r w:rsidRPr="00133CE0">
        <w:t>En conclusión, los datos sugieren que una estrategia electoral unidimensional ignora la realidad económica del territorio: los incentivos que movilizan a una urbe de 500.000 habitantes (salario) son diametralmente opuestos a los que rigen en un municipio de 500 residentes (pensiones).</w:t>
      </w:r>
    </w:p>
    <w:p w14:paraId="67A2261B" w14:textId="77777777" w:rsidR="000418E8" w:rsidRPr="008B6417" w:rsidRDefault="000418E8" w:rsidP="00A8383C"/>
    <w:p w14:paraId="5A90F9AF" w14:textId="77777777" w:rsidR="00F10765" w:rsidRPr="00F10765" w:rsidRDefault="00F10765" w:rsidP="00F10765"/>
    <w:p w14:paraId="1EC923FA" w14:textId="75BF3A73" w:rsidR="00F10765" w:rsidRPr="009C4B37" w:rsidRDefault="00F10765" w:rsidP="00F10765"/>
    <w:sectPr w:rsidR="00F10765" w:rsidRPr="009C4B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30512"/>
    <w:multiLevelType w:val="multilevel"/>
    <w:tmpl w:val="61F4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AB1AC8"/>
    <w:multiLevelType w:val="hybridMultilevel"/>
    <w:tmpl w:val="8196BD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351D4"/>
    <w:multiLevelType w:val="multilevel"/>
    <w:tmpl w:val="14C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31111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A0B4BE8"/>
    <w:multiLevelType w:val="multilevel"/>
    <w:tmpl w:val="A200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431457">
    <w:abstractNumId w:val="1"/>
  </w:num>
  <w:num w:numId="2" w16cid:durableId="1179193813">
    <w:abstractNumId w:val="3"/>
  </w:num>
  <w:num w:numId="3" w16cid:durableId="923035171">
    <w:abstractNumId w:val="2"/>
  </w:num>
  <w:num w:numId="4" w16cid:durableId="1791630491">
    <w:abstractNumId w:val="0"/>
  </w:num>
  <w:num w:numId="5" w16cid:durableId="2007587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115"/>
    <w:rsid w:val="00020AFA"/>
    <w:rsid w:val="000418E8"/>
    <w:rsid w:val="000C263F"/>
    <w:rsid w:val="00133CE0"/>
    <w:rsid w:val="00226E69"/>
    <w:rsid w:val="002E7B0C"/>
    <w:rsid w:val="0034388E"/>
    <w:rsid w:val="003A4E1B"/>
    <w:rsid w:val="003C7B37"/>
    <w:rsid w:val="003D7F5A"/>
    <w:rsid w:val="0049696A"/>
    <w:rsid w:val="005864C9"/>
    <w:rsid w:val="005D0C7D"/>
    <w:rsid w:val="005D1D2E"/>
    <w:rsid w:val="006574A9"/>
    <w:rsid w:val="00704EF9"/>
    <w:rsid w:val="007113EC"/>
    <w:rsid w:val="007166AB"/>
    <w:rsid w:val="007466C0"/>
    <w:rsid w:val="007A4B42"/>
    <w:rsid w:val="007B1282"/>
    <w:rsid w:val="00883024"/>
    <w:rsid w:val="00886A95"/>
    <w:rsid w:val="008B6417"/>
    <w:rsid w:val="008C293E"/>
    <w:rsid w:val="008C2F7E"/>
    <w:rsid w:val="008E5168"/>
    <w:rsid w:val="009261D4"/>
    <w:rsid w:val="009C4B37"/>
    <w:rsid w:val="00A00657"/>
    <w:rsid w:val="00A27CF4"/>
    <w:rsid w:val="00A8383C"/>
    <w:rsid w:val="00B87E4A"/>
    <w:rsid w:val="00BE6983"/>
    <w:rsid w:val="00CF6DFB"/>
    <w:rsid w:val="00D25115"/>
    <w:rsid w:val="00DA3AC2"/>
    <w:rsid w:val="00E664CA"/>
    <w:rsid w:val="00EC7ABB"/>
    <w:rsid w:val="00F10765"/>
    <w:rsid w:val="00F54726"/>
    <w:rsid w:val="00F6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A6F67"/>
  <w15:chartTrackingRefBased/>
  <w15:docId w15:val="{322FB416-3846-4003-B32D-9FBAA807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AFA"/>
    <w:rPr>
      <w:rFonts w:asciiTheme="minorBidi" w:hAnsiTheme="minorBidi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25115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5115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5115"/>
    <w:pPr>
      <w:keepNext/>
      <w:keepLines/>
      <w:numPr>
        <w:ilvl w:val="2"/>
        <w:numId w:val="2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115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115"/>
    <w:pPr>
      <w:keepNext/>
      <w:keepLines/>
      <w:numPr>
        <w:ilvl w:val="4"/>
        <w:numId w:val="2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11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11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115"/>
    <w:pPr>
      <w:keepNext/>
      <w:keepLines/>
      <w:numPr>
        <w:ilvl w:val="7"/>
        <w:numId w:val="2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115"/>
    <w:pPr>
      <w:keepNext/>
      <w:keepLines/>
      <w:numPr>
        <w:ilvl w:val="8"/>
        <w:numId w:val="2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511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511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25115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115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115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115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115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115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115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D25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11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1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11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D25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115"/>
    <w:rPr>
      <w:rFonts w:asciiTheme="minorBidi" w:hAnsiTheme="minorBidi"/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D251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51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115"/>
    <w:rPr>
      <w:rFonts w:asciiTheme="minorBidi" w:hAnsiTheme="minorBidi"/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D25115"/>
    <w:rPr>
      <w:b/>
      <w:bCs/>
      <w:smallCaps/>
      <w:color w:val="0F4761" w:themeColor="accent1" w:themeShade="BF"/>
      <w:spacing w:val="5"/>
    </w:rPr>
  </w:style>
  <w:style w:type="character" w:customStyle="1" w:styleId="math-inline">
    <w:name w:val="math-inline"/>
    <w:basedOn w:val="Fuentedeprrafopredeter"/>
    <w:rsid w:val="002E7B0C"/>
  </w:style>
  <w:style w:type="paragraph" w:styleId="NormalWeb">
    <w:name w:val="Normal (Web)"/>
    <w:basedOn w:val="Normal"/>
    <w:uiPriority w:val="99"/>
    <w:semiHidden/>
    <w:unhideWhenUsed/>
    <w:rsid w:val="002E7B0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Centeno Rodríguez</dc:creator>
  <cp:keywords/>
  <dc:description/>
  <cp:lastModifiedBy>Oriol Centeno Rodríguez</cp:lastModifiedBy>
  <cp:revision>3</cp:revision>
  <dcterms:created xsi:type="dcterms:W3CDTF">2026-05-13T08:11:00Z</dcterms:created>
  <dcterms:modified xsi:type="dcterms:W3CDTF">2026-05-13T08:11:00Z</dcterms:modified>
</cp:coreProperties>
</file>