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efb7b15b91e150a8ffa366bc9c4502c543eed3b"/>
    <w:p>
      <w:pPr>
        <w:pStyle w:val="Heading1"/>
      </w:pPr>
      <w:r>
        <w:t xml:space="preserve">Hermes Engineering Suite Blueprint Edition 1.0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Status: Living Blueprint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edition establishes the governing specification for Hermes Engineering Suite.</w:t>
      </w:r>
    </w:p>
    <w:bookmarkEnd w:id="20"/>
    <w:bookmarkStart w:id="27" w:name="blueprint-structure"/>
    <w:p>
      <w:pPr>
        <w:pStyle w:val="Heading2"/>
      </w:pPr>
      <w:r>
        <w:t xml:space="preserve">Blueprint Structure</w:t>
      </w:r>
    </w:p>
    <w:bookmarkStart w:id="21" w:name="package-0a"/>
    <w:p>
      <w:pPr>
        <w:pStyle w:val="Heading3"/>
      </w:pPr>
      <w:r>
        <w:t xml:space="preserve">Package 0A</w:t>
      </w:r>
    </w:p>
    <w:p>
      <w:pPr>
        <w:pStyle w:val="FirstParagraph"/>
      </w:pPr>
      <w:r>
        <w:t xml:space="preserve">Executive, governance, charter, philosophy.</w:t>
      </w:r>
    </w:p>
    <w:bookmarkEnd w:id="21"/>
    <w:bookmarkStart w:id="22" w:name="package-0b"/>
    <w:p>
      <w:pPr>
        <w:pStyle w:val="Heading3"/>
      </w:pPr>
      <w:r>
        <w:t xml:space="preserve">Package 0B</w:t>
      </w:r>
    </w:p>
    <w:p>
      <w:pPr>
        <w:pStyle w:val="FirstParagraph"/>
      </w:pPr>
      <w:r>
        <w:t xml:space="preserve">Technical architecture.</w:t>
      </w:r>
    </w:p>
    <w:bookmarkEnd w:id="22"/>
    <w:bookmarkStart w:id="23" w:name="package-0c"/>
    <w:p>
      <w:pPr>
        <w:pStyle w:val="Heading3"/>
      </w:pPr>
      <w:r>
        <w:t xml:space="preserve">Package 0C</w:t>
      </w:r>
    </w:p>
    <w:p>
      <w:pPr>
        <w:pStyle w:val="FirstParagraph"/>
      </w:pPr>
      <w:r>
        <w:t xml:space="preserve">Product specification.</w:t>
      </w:r>
    </w:p>
    <w:bookmarkEnd w:id="23"/>
    <w:bookmarkStart w:id="24" w:name="package-0d"/>
    <w:p>
      <w:pPr>
        <w:pStyle w:val="Heading3"/>
      </w:pPr>
      <w:r>
        <w:t xml:space="preserve">Package 0D</w:t>
      </w:r>
    </w:p>
    <w:p>
      <w:pPr>
        <w:pStyle w:val="FirstParagraph"/>
      </w:pPr>
      <w:r>
        <w:t xml:space="preserve">Engineering standards.</w:t>
      </w:r>
    </w:p>
    <w:bookmarkEnd w:id="24"/>
    <w:bookmarkStart w:id="25" w:name="package-0e"/>
    <w:p>
      <w:pPr>
        <w:pStyle w:val="Heading3"/>
      </w:pPr>
      <w:r>
        <w:t xml:space="preserve">Package 0E</w:t>
      </w:r>
    </w:p>
    <w:p>
      <w:pPr>
        <w:pStyle w:val="FirstParagraph"/>
      </w:pPr>
      <w:r>
        <w:t xml:space="preserve">Planning, operations, and project memory.</w:t>
      </w:r>
    </w:p>
    <w:bookmarkEnd w:id="25"/>
    <w:bookmarkStart w:id="26" w:name="package-0f"/>
    <w:p>
      <w:pPr>
        <w:pStyle w:val="Heading3"/>
      </w:pPr>
      <w:r>
        <w:t xml:space="preserve">Package 0F</w:t>
      </w:r>
    </w:p>
    <w:p>
      <w:pPr>
        <w:pStyle w:val="FirstParagraph"/>
      </w:pPr>
      <w:r>
        <w:t xml:space="preserve">Future vision, research, and long-term strategy.</w:t>
      </w:r>
    </w:p>
    <w:bookmarkEnd w:id="26"/>
    <w:bookmarkEnd w:id="27"/>
    <w:bookmarkStart w:id="28" w:name="traceability-model"/>
    <w:p>
      <w:pPr>
        <w:pStyle w:val="Heading2"/>
      </w:pPr>
      <w:r>
        <w:t xml:space="preserve">Traceability Model</w:t>
      </w:r>
    </w:p>
    <w:p>
      <w:pPr>
        <w:pStyle w:val="FirstParagraph"/>
      </w:pPr>
      <w:r>
        <w:t xml:space="preserve">Vision</w:t>
      </w:r>
      <w:r>
        <w:t xml:space="preserve"> </w:t>
      </w:r>
      <w:r>
        <w:t xml:space="preserve">→ Capability</w:t>
      </w:r>
      <w:r>
        <w:t xml:space="preserve"> </w:t>
      </w:r>
      <w:r>
        <w:t xml:space="preserve">→ Requirement</w:t>
      </w:r>
      <w:r>
        <w:t xml:space="preserve"> </w:t>
      </w:r>
      <w:r>
        <w:t xml:space="preserve">→ Product Specification</w:t>
      </w:r>
      <w:r>
        <w:t xml:space="preserve"> </w:t>
      </w:r>
      <w:r>
        <w:t xml:space="preserve">→ Architecture</w:t>
      </w:r>
      <w:r>
        <w:t xml:space="preserve"> </w:t>
      </w:r>
      <w:r>
        <w:t xml:space="preserve">→ Epic</w:t>
      </w:r>
      <w:r>
        <w:t xml:space="preserve"> </w:t>
      </w:r>
      <w:r>
        <w:t xml:space="preserve">→ Story</w:t>
      </w:r>
      <w:r>
        <w:t xml:space="preserve"> </w:t>
      </w:r>
      <w:r>
        <w:t xml:space="preserve">→ Code</w:t>
      </w:r>
      <w:r>
        <w:t xml:space="preserve"> </w:t>
      </w:r>
      <w:r>
        <w:t xml:space="preserve">→ Tests</w:t>
      </w:r>
      <w:r>
        <w:t xml:space="preserve"> </w:t>
      </w:r>
      <w:r>
        <w:t xml:space="preserve">→ Documentation</w:t>
      </w:r>
    </w:p>
    <w:bookmarkEnd w:id="28"/>
    <w:bookmarkStart w:id="29" w:name="core-principles"/>
    <w:p>
      <w:pPr>
        <w:pStyle w:val="Heading2"/>
      </w:pPr>
      <w:r>
        <w:t xml:space="preserve">Core Principles</w:t>
      </w:r>
    </w:p>
    <w:p>
      <w:pPr>
        <w:pStyle w:val="Compact"/>
        <w:numPr>
          <w:ilvl w:val="0"/>
          <w:numId w:val="1001"/>
        </w:numPr>
      </w:pPr>
      <w:r>
        <w:t xml:space="preserve">Local-first</w:t>
      </w:r>
    </w:p>
    <w:p>
      <w:pPr>
        <w:pStyle w:val="Compact"/>
        <w:numPr>
          <w:ilvl w:val="0"/>
          <w:numId w:val="1001"/>
        </w:numPr>
      </w:pPr>
      <w:r>
        <w:t xml:space="preserve">API-first</w:t>
      </w:r>
    </w:p>
    <w:p>
      <w:pPr>
        <w:pStyle w:val="Compact"/>
        <w:numPr>
          <w:ilvl w:val="0"/>
          <w:numId w:val="1001"/>
        </w:numPr>
      </w:pPr>
      <w:r>
        <w:t xml:space="preserve">Modular</w:t>
      </w:r>
    </w:p>
    <w:p>
      <w:pPr>
        <w:pStyle w:val="Compact"/>
        <w:numPr>
          <w:ilvl w:val="0"/>
          <w:numId w:val="1001"/>
        </w:numPr>
      </w:pPr>
      <w:r>
        <w:t xml:space="preserve">AI provider abstraction</w:t>
      </w:r>
    </w:p>
    <w:p>
      <w:pPr>
        <w:pStyle w:val="Compact"/>
        <w:numPr>
          <w:ilvl w:val="0"/>
          <w:numId w:val="1001"/>
        </w:numPr>
      </w:pPr>
      <w:r>
        <w:t xml:space="preserve">Documentation-first engineering</w:t>
      </w:r>
    </w:p>
    <w:p>
      <w:pPr>
        <w:pStyle w:val="Compact"/>
        <w:numPr>
          <w:ilvl w:val="0"/>
          <w:numId w:val="1001"/>
        </w:numPr>
      </w:pPr>
      <w:r>
        <w:t xml:space="preserve">Git is the source of truth</w:t>
      </w:r>
    </w:p>
    <w:p>
      <w:pPr>
        <w:pStyle w:val="Compact"/>
        <w:numPr>
          <w:ilvl w:val="0"/>
          <w:numId w:val="1001"/>
        </w:numPr>
      </w:pPr>
      <w:r>
        <w:t xml:space="preserve">Small, complete, production-quality stories</w:t>
      </w:r>
    </w:p>
    <w:bookmarkEnd w:id="29"/>
    <w:bookmarkStart w:id="30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The blueprint is the authoritative design reference for HES.</w:t>
      </w:r>
      <w:r>
        <w:t xml:space="preserve"> </w:t>
      </w:r>
      <w:r>
        <w:t xml:space="preserve">Implementation should remain aligned with the blueprint unless an architectural</w:t>
      </w:r>
      <w:r>
        <w:t xml:space="preserve"> </w:t>
      </w:r>
      <w:r>
        <w:t xml:space="preserve">decision formally revises it.</w:t>
      </w:r>
    </w:p>
    <w:bookmarkEnd w:id="30"/>
    <w:bookmarkStart w:id="31" w:name="next-phase"/>
    <w:p>
      <w:pPr>
        <w:pStyle w:val="Heading2"/>
      </w:pPr>
      <w:r>
        <w:t xml:space="preserve">Next Phase</w:t>
      </w:r>
    </w:p>
    <w:p>
      <w:pPr>
        <w:pStyle w:val="FirstParagraph"/>
      </w:pPr>
      <w:r>
        <w:t xml:space="preserve">Begin implementation of HES-0002R Backend Development Environment using this</w:t>
      </w:r>
      <w:r>
        <w:t xml:space="preserve"> </w:t>
      </w:r>
      <w:r>
        <w:t xml:space="preserve">blueprint as the engineering baseline.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2026-06-27T20:52:41Z</dcterms:created>
  <dcterms:modified xsi:type="dcterms:W3CDTF">2026-06-27T20:52:41Z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