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0322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"এলান বুলক বলেন, ‘সোলায়মানের পর ইউরোপ ও অটোমান সাম্রাজ্যের মধ্যে অচলাবস্থার সৃষ্টি হয়। মনে হয় যে, মহান তুর্কি আন্দোলনের তৎপরতা ইউরোপে স্তিমিত হয়ে যায়, তারপর আর অগ্রসর হতে পারেনি। এ প্রসঙ্গে উল্লেখ্য, ইউরোপে বিদ্যার প্রভূত উন্নতি সাধিত হলে অটোমানদের তুলনায় ইউরোপীয়রা অধিকতর পারদর্শী হয়ে ওঠে। এর ফলে জলে ও স্থলে তুর্কিদের প্রাধান্য ক্ষীণ হয়ে পড়ে। সোলায়মানের পর তুর্কি সামরিক বাহিনীর শক্তি লোপ পেতে থাকে।"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