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"তথ্যমন্ত্রী হাসানুল হক ইনু বলেছেন, মন্ত্রিসভায় অনুমোদিত প্রস্তাবিত ডিজিটাল নিরাপত্তা আইন ২০১৮ এর ৩২ নম্বর ধারা নিয়ে সংশ্লিষ্ট মন্ত্রণালয় ব্যাখ্যা দিচ্ছে। এ বিষয়ে তার কোনো বক্তব্য নেই। তিনি বলেন, নবম ওয়েজ বোর্ড শুধু প্রিন্ট মিডিয়ার সাংবাদিকদের জন্য। টেলিভিশন ও অনলাইন মিডিয়ার সংবাদকর্মীদের জন্য আপাতত কিছু করা যায়নি। কারণ এগুলোর কর্মপদ্ধতি ঠিক করা হয়নি।"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