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0171</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ঝপাং বলেও কিছু নেই, ভতাং বলেও কিছু নেই—সব শিয়ালের ফাঁকি। বাঘের কিন্তু সেই ঝপাং আর ভতাং শুনেই প্রাণ উড়ে গেল, সে ভাবলে, ‘মাগো, এই রেল পালাই, নইলে না জানি কি দিয়ে কি করবে এসে।’ বলে সে আর সেখানে একটুও দাঁড়াল না। শিয়াল চেয়ে দেখলে যে, সে লাফে লাফে ঝোপ জঙ্গল ডিঙিয়ে ছুটে পালাচ্ছে! তখন শিয়াল আর শিয়ালনী লম্বা নিঃশ্বাস ছেড়ে বললে, ‘যাক, আপদ কেটে গেছে!’</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