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গাছপালার নিবিড়তা হইতে দূরে ফাঁকা মাঠের মধ্যে কাশে ছাওয়া ছোট্ট দুখানা কুঁড়ে। একখানা একটু বড়, এখানাতে রামচন্দ্র আমিন থাকে, পাশের ছোটখানায় তার পেয়াদা আসরফি টিণ্ডেল থাকে। রামচন্দ্র নিজের কাঠের মাচার উপর চোখ বুজিয়া শুইয়া ছিল। আমাদের দেখিয়া ধড়মড় করিয়া উঠিয়া বসিল। জিজ্ঞাসা করিলাম-কি হয়েছে রামচন্দ্র? কেমন আছ?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