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Aitor Bezares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PR-Hotel-008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575"/>
        <w:gridCol w:w="2265"/>
        <w:tblGridChange w:id="0">
          <w:tblGrid>
            <w:gridCol w:w="525"/>
            <w:gridCol w:w="3750"/>
            <w:gridCol w:w="1395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Pirofren 2x1.5mm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PIROFREN 2X1.5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sistema incendis</w:t>
            </w:r>
          </w:p>
        </w:tc>
      </w:tr>
      <w:tr>
        <w:trPr>
          <w:cantSplit w:val="0"/>
          <w:trHeight w:val="778.432617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Detector òptic/térmic KIDDE Excellence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KE-DP121W-SNV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Sirena interior òptica i sonora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KE-AS3115R-WM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smarglobal.com/es/ke-as3115r-wm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asmarglobal.com/es/pirofren-sp-2x1-5.html" TargetMode="External"/><Relationship Id="rId8" Type="http://schemas.openxmlformats.org/officeDocument/2006/relationships/hyperlink" Target="https://www.casmarglobal.com/es/ke-dp3121w-snv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+zOfDsdkeF2iEUgZEakjf3aoCQ==">CgMxLjAyDmgubnBrYWZobTQ4ZDhvOAByITFPUzliNWNneTBVN2dLVUNmZ1pMLVM1Vmx6VnNNR2JGbA==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