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Yu Gothic" w:hAnsi="Yu Gothic" w:eastAsia="Yu Gothic"/>
          <w:b w:val="0"/>
          <w:sz w:val="20"/>
        </w:rPr>
        <w:t>2026年10月12日　営業企画部</w:t>
      </w:r>
    </w:p>
    <w:p>
      <w:pPr>
        <w:spacing w:after="200"/>
        <w:jc w:val="center"/>
      </w:pPr>
      <w:r>
        <w:rPr>
          <w:rFonts w:ascii="Yu Gothic" w:hAnsi="Yu Gothic" w:eastAsia="Yu Gothic"/>
          <w:b/>
          <w:color w:val="1F3864"/>
          <w:sz w:val="32"/>
        </w:rPr>
        <w:t>初めてのボーナス・資産づくり応援キャンペーンの実施について</w:t>
      </w:r>
    </w:p>
    <w:p>
      <w:pPr>
        <w:pStyle w:val="Heading1"/>
        <w:spacing w:before="240" w:after="80"/>
      </w:pPr>
      <w:r>
        <w:rPr>
          <w:rFonts w:ascii="Yu Gothic" w:hAnsi="Yu Gothic" w:eastAsia="Yu Gothic"/>
          <w:b/>
          <w:color w:val="1F3864"/>
          <w:sz w:val="25"/>
        </w:rPr>
        <w:t>１．企画概要</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対象商品</w:t>
            </w:r>
          </w:p>
        </w:tc>
        <w:tc>
          <w:tcPr>
            <w:tcW w:type="dxa" w:w="7257"/>
          </w:tcPr>
          <w:p>
            <w:r/>
            <w:r>
              <w:rPr>
                <w:rFonts w:ascii="Yu Gothic" w:hAnsi="Yu Gothic" w:eastAsia="Yu Gothic"/>
                <w:b w:val="0"/>
                <w:sz w:val="20"/>
              </w:rPr>
              <w:t>積立投資信託／円定期預金</w:t>
            </w:r>
          </w:p>
        </w:tc>
      </w:tr>
      <w:tr>
        <w:trPr>
          <w:cantSplit/>
        </w:trPr>
        <w:tc>
          <w:tcPr>
            <w:tcW w:type="dxa" w:w="2041"/>
            <w:shd w:val="clear" w:color="auto" w:fill="F2F2F2"/>
          </w:tcPr>
          <w:p>
            <w:r/>
            <w:r>
              <w:rPr>
                <w:rFonts w:ascii="Yu Gothic" w:hAnsi="Yu Gothic" w:eastAsia="Yu Gothic"/>
                <w:b/>
                <w:sz w:val="20"/>
              </w:rPr>
              <w:t>ターゲット層</w:t>
            </w:r>
          </w:p>
        </w:tc>
        <w:tc>
          <w:tcPr>
            <w:tcW w:type="dxa" w:w="7257"/>
          </w:tcPr>
          <w:p>
            <w:r/>
            <w:r>
              <w:rPr>
                <w:rFonts w:ascii="Yu Gothic" w:hAnsi="Yu Gothic" w:eastAsia="Yu Gothic"/>
                <w:b w:val="0"/>
                <w:sz w:val="20"/>
              </w:rPr>
              <w:t>若年層</w:t>
            </w:r>
          </w:p>
        </w:tc>
      </w:tr>
      <w:tr>
        <w:trPr>
          <w:cantSplit/>
        </w:trPr>
        <w:tc>
          <w:tcPr>
            <w:tcW w:type="dxa" w:w="2041"/>
            <w:shd w:val="clear" w:color="auto" w:fill="F2F2F2"/>
          </w:tcPr>
          <w:p>
            <w:r/>
            <w:r>
              <w:rPr>
                <w:rFonts w:ascii="Yu Gothic" w:hAnsi="Yu Gothic" w:eastAsia="Yu Gothic"/>
                <w:b/>
                <w:sz w:val="20"/>
              </w:rPr>
              <w:t>実施期間</w:t>
            </w:r>
          </w:p>
        </w:tc>
        <w:tc>
          <w:tcPr>
            <w:tcW w:type="dxa" w:w="7257"/>
          </w:tcPr>
          <w:p>
            <w:r/>
            <w:r>
              <w:rPr>
                <w:rFonts w:ascii="Yu Gothic" w:hAnsi="Yu Gothic" w:eastAsia="Yu Gothic"/>
                <w:b w:val="0"/>
                <w:sz w:val="20"/>
              </w:rPr>
              <w:t>2027年6月1日～2027年8月31日</w:t>
            </w:r>
          </w:p>
        </w:tc>
      </w:tr>
    </w:tbl>
    <w:p>
      <w:pPr>
        <w:spacing w:after="40"/>
      </w:pPr>
    </w:p>
    <w:p>
      <w:pPr>
        <w:pStyle w:val="Heading1"/>
        <w:spacing w:before="240" w:after="80"/>
      </w:pPr>
      <w:r>
        <w:rPr>
          <w:rFonts w:ascii="Yu Gothic" w:hAnsi="Yu Gothic" w:eastAsia="Yu Gothic"/>
          <w:b/>
          <w:color w:val="1F3864"/>
          <w:sz w:val="25"/>
        </w:rPr>
        <w:t>２．実施の背景</w:t>
      </w:r>
    </w:p>
    <w:p>
      <w:pPr>
        <w:spacing w:after="20"/>
      </w:pPr>
      <w:r>
        <w:rPr>
          <w:rFonts w:ascii="Yu Gothic" w:hAnsi="Yu Gothic" w:eastAsia="Yu Gothic"/>
          <w:b/>
          <w:sz w:val="21"/>
        </w:rPr>
        <w:t>① 初めての賞与を機に高まる「お金の置き場所」の相談需要</w:t>
      </w:r>
    </w:p>
    <w:p>
      <w:pPr>
        <w:spacing w:after="120"/>
      </w:pPr>
      <w:r>
        <w:rPr>
          <w:rFonts w:ascii="Yu Gothic" w:hAnsi="Yu Gothic" w:eastAsia="Yu Gothic"/>
          <w:b w:val="0"/>
          <w:sz w:val="21"/>
        </w:rPr>
        <w:t>社会人になって初めて賞与を受け取る層は、使う分・貯める分・育てる分の分け方が定まっておらず、受取りを機に預け方を見直す機会がある。</w:t>
      </w:r>
    </w:p>
    <w:p>
      <w:pPr>
        <w:spacing w:after="20"/>
      </w:pPr>
      <w:r>
        <w:rPr>
          <w:rFonts w:ascii="Yu Gothic" w:hAnsi="Yu Gothic" w:eastAsia="Yu Gothic"/>
          <w:b/>
          <w:sz w:val="21"/>
        </w:rPr>
        <w:t>② 定期預金での備えと、積立投資信託での長期形成の組合せ</w:t>
      </w:r>
    </w:p>
    <w:p>
      <w:pPr>
        <w:spacing w:after="120"/>
      </w:pPr>
      <w:r>
        <w:rPr>
          <w:rFonts w:ascii="Yu Gothic" w:hAnsi="Yu Gothic" w:eastAsia="Yu Gothic"/>
          <w:b w:val="0"/>
          <w:sz w:val="21"/>
        </w:rPr>
        <w:t>まず定期預金で当面の備えを確保し、余裕資金の一部を積立投資信託で育てるという段階的な提案により、無理のない資産形成を始められる。</w:t>
      </w:r>
    </w:p>
    <w:p>
      <w:pPr>
        <w:pStyle w:val="Heading1"/>
        <w:spacing w:before="240" w:after="80"/>
      </w:pPr>
      <w:r>
        <w:rPr>
          <w:rFonts w:ascii="Yu Gothic" w:hAnsi="Yu Gothic" w:eastAsia="Yu Gothic"/>
          <w:b/>
          <w:color w:val="1F3864"/>
          <w:sz w:val="25"/>
        </w:rPr>
        <w:t>３．目的</w:t>
      </w:r>
    </w:p>
    <w:p>
      <w:pPr>
        <w:spacing w:after="80"/>
      </w:pPr>
      <w:r>
        <w:rPr>
          <w:rFonts w:ascii="Yu Gothic" w:hAnsi="Yu Gothic" w:eastAsia="Yu Gothic"/>
          <w:b w:val="0"/>
          <w:sz w:val="21"/>
        </w:rPr>
        <w:t>若年層が賞与や毎月の収入を「備える資金」と「育てる資金」に分けて考えられる相談機会を創出し、①円定期預金の新規預入、②積立投資信託の新規設定、③継続的な顧客接点の強化を図る。</w:t>
      </w:r>
    </w:p>
    <w:p>
      <w:pPr>
        <w:pStyle w:val="Heading1"/>
        <w:spacing w:before="240" w:after="80"/>
      </w:pPr>
      <w:r>
        <w:rPr>
          <w:rFonts w:ascii="Yu Gothic" w:hAnsi="Yu Gothic" w:eastAsia="Yu Gothic"/>
          <w:b/>
          <w:color w:val="1F3864"/>
          <w:sz w:val="25"/>
        </w:rPr>
        <w:t>４．実施内容・行内運営</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面談の基本設計</w:t>
            </w:r>
          </w:p>
        </w:tc>
        <w:tc>
          <w:tcPr>
            <w:tcW w:type="dxa" w:w="7257"/>
          </w:tcPr>
          <w:p>
            <w:r/>
            <w:r>
              <w:rPr>
                <w:rFonts w:ascii="Yu Gothic" w:hAnsi="Yu Gothic" w:eastAsia="Yu Gothic"/>
                <w:b w:val="0"/>
                <w:sz w:val="20"/>
              </w:rPr>
              <w:t>賞与額・生活防衛資金・運用期間・リスク許容度を確認し、「まず預金で備える資金」と「積立で育てる資金」に整理する。</w:t>
            </w:r>
          </w:p>
        </w:tc>
      </w:tr>
      <w:tr>
        <w:trPr>
          <w:cantSplit/>
        </w:trPr>
        <w:tc>
          <w:tcPr>
            <w:tcW w:type="dxa" w:w="2041"/>
            <w:shd w:val="clear" w:color="auto" w:fill="F2F2F2"/>
          </w:tcPr>
          <w:p>
            <w:r/>
            <w:r>
              <w:rPr>
                <w:rFonts w:ascii="Yu Gothic" w:hAnsi="Yu Gothic" w:eastAsia="Yu Gothic"/>
                <w:b/>
                <w:sz w:val="20"/>
              </w:rPr>
              <w:t>提案手段</w:t>
            </w:r>
          </w:p>
        </w:tc>
        <w:tc>
          <w:tcPr>
            <w:tcW w:type="dxa" w:w="7257"/>
          </w:tcPr>
          <w:p>
            <w:r/>
            <w:r>
              <w:rPr>
                <w:rFonts w:ascii="Yu Gothic" w:hAnsi="Yu Gothic" w:eastAsia="Yu Gothic"/>
                <w:b w:val="0"/>
                <w:sz w:val="20"/>
              </w:rPr>
              <w:t>投資信託は、金融商品取引法に基づく適合性の原則・説明義務に沿って、商品リスク・費用・元本割れの可能性を必ず案内する。購入を相談の条件にしない。</w:t>
            </w:r>
          </w:p>
        </w:tc>
      </w:tr>
      <w:tr>
        <w:trPr>
          <w:cantSplit/>
        </w:trPr>
        <w:tc>
          <w:tcPr>
            <w:tcW w:type="dxa" w:w="2041"/>
            <w:shd w:val="clear" w:color="auto" w:fill="F2F2F2"/>
          </w:tcPr>
          <w:p>
            <w:r/>
            <w:r>
              <w:rPr>
                <w:rFonts w:ascii="Yu Gothic" w:hAnsi="Yu Gothic" w:eastAsia="Yu Gothic"/>
                <w:b/>
                <w:sz w:val="20"/>
              </w:rPr>
              <w:t>行内の実施体制</w:t>
            </w:r>
          </w:p>
        </w:tc>
        <w:tc>
          <w:tcPr>
            <w:tcW w:type="dxa" w:w="7257"/>
          </w:tcPr>
          <w:p>
            <w:r/>
            <w:r>
              <w:rPr>
                <w:rFonts w:ascii="Yu Gothic" w:hAnsi="Yu Gothic" w:eastAsia="Yu Gothic"/>
                <w:b w:val="0"/>
                <w:sz w:val="20"/>
              </w:rPr>
              <w:t>店頭は簡易ヒアリングと相談予約を担当し、詳しい提案は取扱資格を有する担当者へ連携。結果は相談管理に記録する。</w:t>
            </w:r>
          </w:p>
        </w:tc>
      </w:tr>
    </w:tbl>
    <w:p>
      <w:pPr>
        <w:spacing w:after="40"/>
      </w:pPr>
    </w:p>
    <w:p>
      <w:pPr>
        <w:pStyle w:val="Heading1"/>
        <w:spacing w:before="240" w:after="80"/>
      </w:pPr>
      <w:r>
        <w:rPr>
          <w:rFonts w:ascii="Yu Gothic" w:hAnsi="Yu Gothic" w:eastAsia="Yu Gothic"/>
          <w:b/>
          <w:color w:val="1F3864"/>
          <w:sz w:val="25"/>
        </w:rPr>
        <w:t>５．プロモーション</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アプリ通知</w:t>
            </w:r>
          </w:p>
        </w:tc>
        <w:tc>
          <w:tcPr>
            <w:tcW w:type="dxa" w:w="7257"/>
          </w:tcPr>
          <w:p>
            <w:r/>
            <w:r>
              <w:rPr>
                <w:rFonts w:ascii="Yu Gothic" w:hAnsi="Yu Gothic" w:eastAsia="Yu Gothic"/>
                <w:b w:val="0"/>
                <w:sz w:val="20"/>
              </w:rPr>
              <w:t>配信同意済みの若年層へ、賞与支給前（6月上旬）に「初めてのボーナス相談」の予約導線をPush配信。配信は個人情報保護法に基づく同意の範囲内とする。</w:t>
            </w:r>
          </w:p>
        </w:tc>
      </w:tr>
      <w:tr>
        <w:trPr>
          <w:cantSplit/>
        </w:trPr>
        <w:tc>
          <w:tcPr>
            <w:tcW w:type="dxa" w:w="2041"/>
            <w:shd w:val="clear" w:color="auto" w:fill="F2F2F2"/>
          </w:tcPr>
          <w:p>
            <w:r/>
            <w:r>
              <w:rPr>
                <w:rFonts w:ascii="Yu Gothic" w:hAnsi="Yu Gothic" w:eastAsia="Yu Gothic"/>
                <w:b/>
                <w:sz w:val="20"/>
              </w:rPr>
              <w:t>店頭</w:t>
            </w:r>
          </w:p>
        </w:tc>
        <w:tc>
          <w:tcPr>
            <w:tcW w:type="dxa" w:w="7257"/>
          </w:tcPr>
          <w:p>
            <w:r/>
            <w:r>
              <w:rPr>
                <w:rFonts w:ascii="Yu Gothic" w:hAnsi="Yu Gothic" w:eastAsia="Yu Gothic"/>
                <w:b w:val="0"/>
                <w:sz w:val="20"/>
              </w:rPr>
              <w:t>給与振込口座の利用者へ案内カードを配布。商品購入・預入を相談受付の条件にしない。</w:t>
            </w:r>
          </w:p>
        </w:tc>
      </w:tr>
      <w:tr>
        <w:trPr>
          <w:cantSplit/>
        </w:trPr>
        <w:tc>
          <w:tcPr>
            <w:tcW w:type="dxa" w:w="2041"/>
            <w:shd w:val="clear" w:color="auto" w:fill="F2F2F2"/>
          </w:tcPr>
          <w:p>
            <w:r/>
            <w:r>
              <w:rPr>
                <w:rFonts w:ascii="Yu Gothic" w:hAnsi="Yu Gothic" w:eastAsia="Yu Gothic"/>
                <w:b/>
                <w:sz w:val="20"/>
              </w:rPr>
              <w:t>Web・行内</w:t>
            </w:r>
          </w:p>
        </w:tc>
        <w:tc>
          <w:tcPr>
            <w:tcW w:type="dxa" w:w="7257"/>
          </w:tcPr>
          <w:p>
            <w:r/>
            <w:r>
              <w:rPr>
                <w:rFonts w:ascii="Yu Gothic" w:hAnsi="Yu Gothic" w:eastAsia="Yu Gothic"/>
                <w:b w:val="0"/>
                <w:sz w:val="20"/>
              </w:rPr>
              <w:t>ホームページに相談テーマ例（賞与の分け方など）を掲載。説明資料・FAQ・適合性確認手順を行内共有する。</w:t>
            </w:r>
          </w:p>
        </w:tc>
      </w:tr>
    </w:tbl>
    <w:p>
      <w:pPr>
        <w:spacing w:after="40"/>
      </w:pPr>
    </w:p>
    <w:p>
      <w:pPr>
        <w:pStyle w:val="Heading1"/>
        <w:spacing w:before="240" w:after="80"/>
      </w:pPr>
      <w:r>
        <w:rPr>
          <w:rFonts w:ascii="Yu Gothic" w:hAnsi="Yu Gothic" w:eastAsia="Yu Gothic"/>
          <w:b/>
          <w:color w:val="1F3864"/>
          <w:sz w:val="25"/>
        </w:rPr>
        <w:t>６．KPI</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主KPI</w:t>
            </w:r>
          </w:p>
        </w:tc>
        <w:tc>
          <w:tcPr>
            <w:tcW w:type="dxa" w:w="7257"/>
          </w:tcPr>
          <w:p>
            <w:r/>
            <w:r>
              <w:rPr>
                <w:rFonts w:ascii="Yu Gothic" w:hAnsi="Yu Gothic" w:eastAsia="Yu Gothic"/>
                <w:b w:val="0"/>
                <w:sz w:val="20"/>
              </w:rPr>
              <w:t>積立投資信託の新規設定：60件／円定期預金の新規預入額：1.0億円（仮置き）</w:t>
            </w:r>
          </w:p>
        </w:tc>
      </w:tr>
      <w:tr>
        <w:trPr>
          <w:cantSplit/>
        </w:trPr>
        <w:tc>
          <w:tcPr>
            <w:tcW w:type="dxa" w:w="2041"/>
            <w:shd w:val="clear" w:color="auto" w:fill="F2F2F2"/>
          </w:tcPr>
          <w:p>
            <w:r/>
            <w:r>
              <w:rPr>
                <w:rFonts w:ascii="Yu Gothic" w:hAnsi="Yu Gothic" w:eastAsia="Yu Gothic"/>
                <w:b/>
                <w:sz w:val="20"/>
              </w:rPr>
              <w:t>活動KPI</w:t>
            </w:r>
          </w:p>
        </w:tc>
        <w:tc>
          <w:tcPr>
            <w:tcW w:type="dxa" w:w="7257"/>
          </w:tcPr>
          <w:p>
            <w:r/>
            <w:r>
              <w:rPr>
                <w:rFonts w:ascii="Yu Gothic" w:hAnsi="Yu Gothic" w:eastAsia="Yu Gothic"/>
                <w:b w:val="0"/>
                <w:sz w:val="20"/>
              </w:rPr>
              <w:t>案内対象：2,500件／相談予約：110件／相談実施：80件（仮置き）</w:t>
            </w:r>
          </w:p>
        </w:tc>
      </w:tr>
      <w:tr>
        <w:trPr>
          <w:cantSplit/>
        </w:trPr>
        <w:tc>
          <w:tcPr>
            <w:tcW w:type="dxa" w:w="2041"/>
            <w:shd w:val="clear" w:color="auto" w:fill="F2F2F2"/>
          </w:tcPr>
          <w:p>
            <w:r/>
            <w:r>
              <w:rPr>
                <w:rFonts w:ascii="Yu Gothic" w:hAnsi="Yu Gothic" w:eastAsia="Yu Gothic"/>
                <w:b/>
                <w:sz w:val="20"/>
              </w:rPr>
              <w:t>管理方法</w:t>
            </w:r>
          </w:p>
        </w:tc>
        <w:tc>
          <w:tcPr>
            <w:tcW w:type="dxa" w:w="7257"/>
          </w:tcPr>
          <w:p>
            <w:r/>
            <w:r>
              <w:rPr>
                <w:rFonts w:ascii="Yu Gothic" w:hAnsi="Yu Gothic" w:eastAsia="Yu Gothic"/>
                <w:b w:val="0"/>
                <w:sz w:val="20"/>
              </w:rPr>
              <w:t>月次で対象数・面談・設定・預入額をチャネル別に集計。過去実績・母集団・稼働人数で補正する。</w:t>
            </w:r>
          </w:p>
        </w:tc>
      </w:tr>
    </w:tbl>
    <w:p>
      <w:pPr>
        <w:spacing w:after="40"/>
      </w:pPr>
    </w:p>
    <w:p>
      <w:pPr>
        <w:pStyle w:val="Heading1"/>
        <w:spacing w:before="240" w:after="80"/>
      </w:pPr>
      <w:r>
        <w:rPr>
          <w:rFonts w:ascii="Yu Gothic" w:hAnsi="Yu Gothic" w:eastAsia="Yu Gothic"/>
          <w:b/>
          <w:color w:val="1F3864"/>
          <w:sz w:val="25"/>
        </w:rPr>
        <w:t>７．使用システム（台帳記載名／利用可否は要確認）</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顧客抽出・接点</w:t>
            </w:r>
          </w:p>
        </w:tc>
        <w:tc>
          <w:tcPr>
            <w:tcW w:type="dxa" w:w="7257"/>
          </w:tcPr>
          <w:p>
            <w:r/>
            <w:r>
              <w:rPr>
                <w:rFonts w:ascii="Yu Gothic" w:hAnsi="Yu Gothic" w:eastAsia="Yu Gothic"/>
                <w:b w:val="0"/>
                <w:sz w:val="20"/>
              </w:rPr>
              <w:t>顧客管理システム：案内対象条件の確認、接触履歴の管理。</w:t>
            </w:r>
          </w:p>
        </w:tc>
      </w:tr>
      <w:tr>
        <w:trPr>
          <w:cantSplit/>
        </w:trPr>
        <w:tc>
          <w:tcPr>
            <w:tcW w:type="dxa" w:w="2041"/>
            <w:shd w:val="clear" w:color="auto" w:fill="F2F2F2"/>
          </w:tcPr>
          <w:p>
            <w:r/>
            <w:r>
              <w:rPr>
                <w:rFonts w:ascii="Yu Gothic" w:hAnsi="Yu Gothic" w:eastAsia="Yu Gothic"/>
                <w:b/>
                <w:sz w:val="20"/>
              </w:rPr>
              <w:t>投信受付・管理</w:t>
            </w:r>
          </w:p>
        </w:tc>
        <w:tc>
          <w:tcPr>
            <w:tcW w:type="dxa" w:w="7257"/>
          </w:tcPr>
          <w:p>
            <w:r/>
            <w:r>
              <w:rPr>
                <w:rFonts w:ascii="Yu Gothic" w:hAnsi="Yu Gothic" w:eastAsia="Yu Gothic"/>
                <w:b w:val="0"/>
                <w:sz w:val="20"/>
              </w:rPr>
              <w:t>預り資産販売システム／投資信託管理システム：積立設定の受付・実績確認。</w:t>
            </w:r>
          </w:p>
        </w:tc>
      </w:tr>
      <w:tr>
        <w:trPr>
          <w:cantSplit/>
        </w:trPr>
        <w:tc>
          <w:tcPr>
            <w:tcW w:type="dxa" w:w="2041"/>
            <w:shd w:val="clear" w:color="auto" w:fill="F2F2F2"/>
          </w:tcPr>
          <w:p>
            <w:r/>
            <w:r>
              <w:rPr>
                <w:rFonts w:ascii="Yu Gothic" w:hAnsi="Yu Gothic" w:eastAsia="Yu Gothic"/>
                <w:b/>
                <w:sz w:val="20"/>
              </w:rPr>
              <w:t>預金・告知</w:t>
            </w:r>
          </w:p>
        </w:tc>
        <w:tc>
          <w:tcPr>
            <w:tcW w:type="dxa" w:w="7257"/>
          </w:tcPr>
          <w:p>
            <w:r/>
            <w:r>
              <w:rPr>
                <w:rFonts w:ascii="Yu Gothic" w:hAnsi="Yu Gothic" w:eastAsia="Yu Gothic"/>
                <w:b w:val="0"/>
                <w:sz w:val="20"/>
              </w:rPr>
              <w:t>勘定系システム：預入実績の確認／顧客向けアプリ：Push通知（各機能の利用可否を要確認）。</w:t>
            </w:r>
          </w:p>
        </w:tc>
      </w:tr>
    </w:tbl>
    <w:p>
      <w:pPr>
        <w:spacing w:after="40"/>
      </w:pPr>
    </w:p>
    <w:p>
      <w:pPr>
        <w:spacing w:after="160"/>
        <w:jc w:val="right"/>
      </w:pPr>
      <w:r>
        <w:rPr>
          <w:rFonts w:ascii="Yu Gothic" w:hAnsi="Yu Gothic" w:eastAsia="Yu Gothic"/>
          <w:b w:val="0"/>
          <w:sz w:val="21"/>
        </w:rPr>
        <w:t>以上</w:t>
      </w:r>
    </w:p>
    <w:p>
      <w:pPr>
        <w:spacing w:after="80"/>
        <w:jc w:val="center"/>
      </w:pPr>
      <w:r>
        <w:rPr>
          <w:rFonts w:ascii="Yu Gothic" w:hAnsi="Yu Gothic" w:eastAsia="Yu Gothic"/>
          <w:b w:val="0"/>
          <w:color w:val="7F7F7F"/>
          <w:sz w:val="18"/>
        </w:rPr>
        <w:t>社内検討用｜本企画・数値・利用システムは仮置き</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