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rFonts w:ascii="Yu Gothic" w:hAnsi="Yu Gothic" w:eastAsia="Yu Gothic"/>
          <w:b w:val="0"/>
          <w:sz w:val="20"/>
        </w:rPr>
        <w:t>2026年10月12日　営業企画部</w:t>
      </w:r>
    </w:p>
    <w:p>
      <w:pPr>
        <w:spacing w:after="200"/>
        <w:jc w:val="center"/>
      </w:pPr>
      <w:r>
        <w:rPr>
          <w:rFonts w:ascii="Yu Gothic" w:hAnsi="Yu Gothic" w:eastAsia="Yu Gothic"/>
          <w:b/>
          <w:color w:val="1F3864"/>
          <w:sz w:val="32"/>
        </w:rPr>
        <w:t>保障の定期点検キャンペーンの実施について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１．企画概要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対象商品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平準払保険（医療・がん）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ターゲット層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現役層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実施期間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2027年6月1日～2027年8月31日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２．実施の背景</w:t>
      </w:r>
    </w:p>
    <w:p>
      <w:pPr>
        <w:spacing w:after="20"/>
      </w:pPr>
      <w:r>
        <w:rPr>
          <w:rFonts w:ascii="Yu Gothic" w:hAnsi="Yu Gothic" w:eastAsia="Yu Gothic"/>
          <w:b/>
          <w:sz w:val="21"/>
        </w:rPr>
        <w:t>① 加入後に見直されにくい、保障の内容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保険は加入後に内容が見直されにくく、家族構成や収入の変化に対して、保障が足りているか、反対に保険料が過大になっていないかを確認する機会が少ない。</w:t>
      </w:r>
    </w:p>
    <w:p>
      <w:pPr>
        <w:spacing w:after="20"/>
      </w:pPr>
      <w:r>
        <w:rPr>
          <w:rFonts w:ascii="Yu Gothic" w:hAnsi="Yu Gothic" w:eastAsia="Yu Gothic"/>
          <w:b/>
          <w:sz w:val="21"/>
        </w:rPr>
        <w:t>② 夏季賞与の前後に高まる、家計の点検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賞与の前後は家計全体を点検する機会であり、保障の内容も合わせて見直しやすい。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３．目的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>現役層が既契約の保障を点検できる相談機会を創出し、①保障の過不足の確認、②顧客の意向に応じた保障の提案と新規契約、③継続的な顧客接点の強化を図る。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４．実施内容・行内運営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面談の基本設計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家族構成・収入・既契約の内容を確認し、医療・がんなどの保障が足りているかを一緒に点検する。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提案手段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保険は保険業法の意向把握に沿って、既契約の内容を確認したうえで、顧客の意向に応じた保障を提案する。保険の加入を相談受付の条件にしない。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行内の実施体制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店頭は簡易ヒアリングと相談予約を担当。保障の相談は保険担当者へ紹介し、紹介結果を記録する。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５．プロモーション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アプリ通知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配信同意済みの保険契約者へ、6月上旬に「保障の点検相談」の予約導線をPush配信。個人情報保護法に基づく同意の範囲内で行う。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DM送付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保険契約者へ、保障の点検相談の案内を送付。問い合わせ先を明記する。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店頭・Web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来店者へ案内カードを配布し、ホームページに点検のポイントを掲載。説明資料・FAQ・紹介ルールを行内共有する。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６．KPI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主KPI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保険新規契約：40件（仮置き）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活動KPI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案内対象：3,000件／相談予約：200件／相談実施：150件／保険担当への紹介：100件（仮置き）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管理方法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月次で対象数・面談・実績をチャネル別に集計。過去実績・母集団・稼働人数で補正する。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７．使用システム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608"/>
        <w:gridCol w:w="4762"/>
      </w:tblGrid>
      <w:tr>
        <w:trPr>
          <w:cantSplit/>
        </w:trPr>
        <w:tc>
          <w:tcPr>
            <w:tcW w:type="dxa" w:w="1928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608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使用システム</w:t>
            </w:r>
          </w:p>
        </w:tc>
        <w:tc>
          <w:tcPr>
            <w:tcW w:type="dxa" w:w="4762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企画で想定する利用方法（参考）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顧客抽出・接点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案内対象の抽出・除外、接触履歴の管理。保持項目・権限は要確認。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保障の試算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保険試算システム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顧客の状況に応じた保障額の試算。利用範囲を要確認。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既契約・成果確認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保険契約管理システム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当行で把握可能な保険契約情報の照会、新規契約実績の確認。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保険申込受付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保険受付システム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顧客意向に応じた保険申込の受付を想定。処理範囲を要確認。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アプリ通知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顧客向けアプリ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Push通知の配信を想定。配信機能、対象抽出、配信同意を要確認。</w:t>
            </w:r>
          </w:p>
        </w:tc>
      </w:tr>
    </w:tbl>
    <w:p>
      <w:pPr>
        <w:spacing w:after="40"/>
      </w:pPr>
    </w:p>
    <w:p>
      <w:pPr>
        <w:spacing w:after="160"/>
        <w:jc w:val="right"/>
      </w:pPr>
      <w:r>
        <w:rPr>
          <w:rFonts w:ascii="Yu Gothic" w:hAnsi="Yu Gothic" w:eastAsia="Yu Gothic"/>
          <w:b w:val="0"/>
          <w:sz w:val="21"/>
        </w:rPr>
        <w:t>以上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7F7F7F"/>
          <w:sz w:val="18"/>
        </w:rPr>
        <w:t>社内検討用｜本企画・数値・利用システムは仮置き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