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Yu Gothic" w:hAnsi="Yu Gothic" w:eastAsia="Yu Gothic"/>
          <w:b w:val="0"/>
          <w:sz w:val="20"/>
        </w:rPr>
        <w:t>2026年10月12日　営業企画部</w:t>
      </w:r>
    </w:p>
    <w:p>
      <w:pPr>
        <w:spacing w:after="200"/>
        <w:jc w:val="center"/>
      </w:pPr>
      <w:r>
        <w:rPr>
          <w:rFonts w:ascii="Yu Gothic" w:hAnsi="Yu Gothic" w:eastAsia="Yu Gothic"/>
          <w:b/>
          <w:color w:val="1F3864"/>
          <w:sz w:val="32"/>
        </w:rPr>
        <w:t>新社会人の給与積立スタート応援キャンペーンの実施について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１．企画概要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対象商品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積立投資信託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ターゲット層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若年層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実施期間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2027年4月1日～2027年6月30日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２．実施の背景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① 給与の受取りが始まる新社会人の、お金の習慣づくり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初めて給与を受け取る新社会人は、貯蓄の方法や毎月のお金の使い方を決める時期であり、最初の習慣づくりを支援する機会になる。</w:t>
      </w:r>
    </w:p>
    <w:p>
      <w:pPr>
        <w:spacing w:after="20"/>
      </w:pPr>
      <w:r>
        <w:rPr>
          <w:rFonts w:ascii="Yu Gothic" w:hAnsi="Yu Gothic" w:eastAsia="Yu Gothic"/>
          <w:b/>
          <w:sz w:val="21"/>
        </w:rPr>
        <w:t>② 少額から続けやすい、積立という選択肢</w:t>
      </w:r>
    </w:p>
    <w:p>
      <w:pPr>
        <w:spacing w:after="120"/>
      </w:pPr>
      <w:r>
        <w:rPr>
          <w:rFonts w:ascii="Yu Gothic" w:hAnsi="Yu Gothic" w:eastAsia="Yu Gothic"/>
          <w:b w:val="0"/>
          <w:sz w:val="21"/>
        </w:rPr>
        <w:t>毎月少額から始められる積立は、無理なく続けやすい。投資のリスクや費用とあわせて、基本から案内できる。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３．目的</w:t>
      </w:r>
    </w:p>
    <w:p>
      <w:pPr>
        <w:spacing w:after="80"/>
      </w:pPr>
      <w:r>
        <w:rPr>
          <w:rFonts w:ascii="Yu Gothic" w:hAnsi="Yu Gothic" w:eastAsia="Yu Gothic"/>
          <w:b w:val="0"/>
          <w:sz w:val="21"/>
        </w:rPr>
        <w:t>新社会人が毎月の収支を見ながら、無理のない金額で積立を始められる相談機会を創出し、①積立投資信託の新規設定、②給与振込口座の利用促進、③継続的な顧客接点の強化を図る。</w:t>
      </w: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４．実施内容・行内運営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面談の基本設計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毎月の収支・手取り・生活防衛資金・運用期間・リスク許容度を確認し、積立額の目安を一緒に決める。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提案手段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積立投資信託は、金融商品取引法に基づく適合性の原則・説明義務に沿って、商品リスク・費用・元本割れの可能性を必ず案内する。購入を相談の条件にしない。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行内の実施体制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店頭は簡易ヒアリングと相談予約を担当し、詳しい提案は取扱資格を有する担当者へ連携。結果は相談管理に記録する。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５．プロモーション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配信同意済みの新社会人へ、4月上旬に「はじめての積立相談」の予約導線をPush配信。個人情報保護法に基づく同意の範囲内で行う。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店頭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給与振込口座の開設時に案内カードを配布。商品購入を相談受付の条件にしない。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Web・行内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ホームページに積立の基本とQ&amp;Aを掲載。説明資料・FAQ・適合性確認手順を行内共有する。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６．KPI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主KPI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積立投資信託の新規設定：100件（仮置き）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活動KPI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案内対象：3,500件／相談予約：180件／相談実施：130件（仮置き）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2F2"/>
          </w:tcPr>
          <w:p>
            <w:r/>
            <w:r>
              <w:rPr>
                <w:rFonts w:ascii="Yu Gothic" w:hAnsi="Yu Gothic" w:eastAsia="Yu Gothic"/>
                <w:b/>
                <w:sz w:val="20"/>
              </w:rPr>
              <w:t>管理方法</w:t>
            </w:r>
          </w:p>
        </w:tc>
        <w:tc>
          <w:tcPr>
            <w:tcW w:type="dxa" w:w="7257"/>
          </w:tcPr>
          <w:p>
            <w:r/>
            <w:r>
              <w:rPr>
                <w:rFonts w:ascii="Yu Gothic" w:hAnsi="Yu Gothic" w:eastAsia="Yu Gothic"/>
                <w:b w:val="0"/>
                <w:sz w:val="20"/>
              </w:rPr>
              <w:t>月次で対象数・面談・実績をチャネル別に集計。過去実績・母集団・稼働人数で補正する。</w:t>
            </w:r>
          </w:p>
        </w:tc>
      </w:tr>
    </w:tbl>
    <w:p>
      <w:pPr>
        <w:spacing w:after="40"/>
      </w:pPr>
    </w:p>
    <w:p>
      <w:pPr>
        <w:pStyle w:val="Heading1"/>
        <w:spacing w:before="240" w:after="80"/>
      </w:pPr>
      <w:r>
        <w:rPr>
          <w:rFonts w:ascii="Yu Gothic" w:hAnsi="Yu Gothic" w:eastAsia="Yu Gothic"/>
          <w:b/>
          <w:color w:val="1F3864"/>
          <w:sz w:val="25"/>
        </w:rPr>
        <w:t>７．使用システム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608"/>
        <w:gridCol w:w="4762"/>
      </w:tblGrid>
      <w:tr>
        <w:trPr>
          <w:cantSplit/>
        </w:trPr>
        <w:tc>
          <w:tcPr>
            <w:tcW w:type="dxa" w:w="192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608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使用システム</w:t>
            </w:r>
          </w:p>
        </w:tc>
        <w:tc>
          <w:tcPr>
            <w:tcW w:type="dxa" w:w="4762"/>
            <w:shd w:val="clear" w:color="auto" w:fill="23496B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企画で想定する利用方法（参考）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顧客抽出・接点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案内対象の抽出・除外、接触履歴の管理。保持項目・権限は要確認。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積立投信の受付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預り資産販売システム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積立投資信託の設定受付を想定。処理範囲を要確認。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投信の実績確認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投資信託管理システム</w:t>
            </w:r>
          </w:p>
        </w:tc>
        <w:tc>
          <w:tcPr>
            <w:tcW w:type="dxa" w:w="4762"/>
            <w:shd w:val="clear" w:color="auto" w:fill="FFFFFF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購入額・設定件数の確認。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/>
                <w:sz w:val="20"/>
              </w:rPr>
              <w:t>アプリ通知</w:t>
            </w:r>
          </w:p>
        </w:tc>
        <w:tc>
          <w:tcPr>
            <w:tcW w:type="dxa" w:w="2608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顧客向けアプリ</w:t>
            </w:r>
          </w:p>
        </w:tc>
        <w:tc>
          <w:tcPr>
            <w:tcW w:type="dxa" w:w="4762"/>
            <w:shd w:val="clear" w:color="auto" w:fill="EAF0F7"/>
          </w:tcPr>
          <w:p>
            <w:pPr>
              <w:spacing w:before="80" w:after="80"/>
            </w:pPr>
            <w:r/>
            <w:r>
              <w:rPr>
                <w:rFonts w:ascii="Yu Gothic" w:hAnsi="Yu Gothic" w:eastAsia="Yu Gothic"/>
                <w:b w:val="0"/>
                <w:sz w:val="20"/>
              </w:rPr>
              <w:t>Push通知の配信を想定。配信機能、対象抽出、配信同意を要確認。</w:t>
            </w:r>
          </w:p>
        </w:tc>
      </w:tr>
    </w:tbl>
    <w:p>
      <w:pPr>
        <w:spacing w:after="40"/>
      </w:pPr>
    </w:p>
    <w:p>
      <w:pPr>
        <w:spacing w:after="160"/>
        <w:jc w:val="right"/>
      </w:pPr>
      <w:r>
        <w:rPr>
          <w:rFonts w:ascii="Yu Gothic" w:hAnsi="Yu Gothic" w:eastAsia="Yu Gothic"/>
          <w:b w:val="0"/>
          <w:sz w:val="21"/>
        </w:rPr>
        <w:t>以上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7F7F7F"/>
          <w:sz w:val="18"/>
        </w:rPr>
        <w:t>社内検討用｜本企画・数値・利用システムは仮置き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