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Yu Gothic" w:hAnsi="Yu Gothic" w:eastAsia="Yu Gothic"/>
          <w:b w:val="0"/>
          <w:sz w:val="20"/>
        </w:rPr>
        <w:t>2026年10月12日　営業企画部</w:t>
      </w:r>
    </w:p>
    <w:p>
      <w:pPr>
        <w:spacing w:after="200"/>
        <w:jc w:val="center"/>
      </w:pPr>
      <w:r>
        <w:rPr>
          <w:rFonts w:ascii="Yu Gothic" w:hAnsi="Yu Gothic" w:eastAsia="Yu Gothic"/>
          <w:b/>
          <w:color w:val="1F3864"/>
          <w:sz w:val="32"/>
        </w:rPr>
        <w:t>結婚・出産などライフイベント準備応援キャンペーンの実施について</w:t>
      </w:r>
    </w:p>
    <w:p>
      <w:pPr>
        <w:pStyle w:val="Heading1"/>
        <w:spacing w:before="240" w:after="80"/>
      </w:pPr>
      <w:r>
        <w:rPr>
          <w:rFonts w:ascii="Yu Gothic" w:hAnsi="Yu Gothic" w:eastAsia="Yu Gothic"/>
          <w:b/>
          <w:color w:val="1F3864"/>
          <w:sz w:val="25"/>
        </w:rPr>
        <w:t>１．企画概要</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対象商品</w:t>
            </w:r>
          </w:p>
        </w:tc>
        <w:tc>
          <w:tcPr>
            <w:tcW w:type="dxa" w:w="7257"/>
          </w:tcPr>
          <w:p>
            <w:r/>
            <w:r>
              <w:rPr>
                <w:rFonts w:ascii="Yu Gothic" w:hAnsi="Yu Gothic" w:eastAsia="Yu Gothic"/>
                <w:b w:val="0"/>
                <w:sz w:val="20"/>
              </w:rPr>
              <w:t>積立投資信託／円定期預金／平準払保険（医療・死亡保障）</w:t>
            </w:r>
          </w:p>
        </w:tc>
      </w:tr>
      <w:tr>
        <w:trPr>
          <w:cantSplit/>
        </w:trPr>
        <w:tc>
          <w:tcPr>
            <w:tcW w:type="dxa" w:w="2041"/>
            <w:shd w:val="clear" w:color="auto" w:fill="F2F2F2"/>
          </w:tcPr>
          <w:p>
            <w:r/>
            <w:r>
              <w:rPr>
                <w:rFonts w:ascii="Yu Gothic" w:hAnsi="Yu Gothic" w:eastAsia="Yu Gothic"/>
                <w:b/>
                <w:sz w:val="20"/>
              </w:rPr>
              <w:t>ターゲット層</w:t>
            </w:r>
          </w:p>
        </w:tc>
        <w:tc>
          <w:tcPr>
            <w:tcW w:type="dxa" w:w="7257"/>
          </w:tcPr>
          <w:p>
            <w:r/>
            <w:r>
              <w:rPr>
                <w:rFonts w:ascii="Yu Gothic" w:hAnsi="Yu Gothic" w:eastAsia="Yu Gothic"/>
                <w:b w:val="0"/>
                <w:sz w:val="20"/>
              </w:rPr>
              <w:t>若年層</w:t>
            </w:r>
          </w:p>
        </w:tc>
      </w:tr>
      <w:tr>
        <w:trPr>
          <w:cantSplit/>
        </w:trPr>
        <w:tc>
          <w:tcPr>
            <w:tcW w:type="dxa" w:w="2041"/>
            <w:shd w:val="clear" w:color="auto" w:fill="F2F2F2"/>
          </w:tcPr>
          <w:p>
            <w:r/>
            <w:r>
              <w:rPr>
                <w:rFonts w:ascii="Yu Gothic" w:hAnsi="Yu Gothic" w:eastAsia="Yu Gothic"/>
                <w:b/>
                <w:sz w:val="20"/>
              </w:rPr>
              <w:t>実施期間</w:t>
            </w:r>
          </w:p>
        </w:tc>
        <w:tc>
          <w:tcPr>
            <w:tcW w:type="dxa" w:w="7257"/>
          </w:tcPr>
          <w:p>
            <w:r/>
            <w:r>
              <w:rPr>
                <w:rFonts w:ascii="Yu Gothic" w:hAnsi="Yu Gothic" w:eastAsia="Yu Gothic"/>
                <w:b w:val="0"/>
                <w:sz w:val="20"/>
              </w:rPr>
              <w:t>2027年9月1日～2027年11月30日</w:t>
            </w:r>
          </w:p>
        </w:tc>
      </w:tr>
    </w:tbl>
    <w:p>
      <w:pPr>
        <w:spacing w:after="40"/>
      </w:pPr>
    </w:p>
    <w:p>
      <w:pPr>
        <w:pStyle w:val="Heading1"/>
        <w:spacing w:before="240" w:after="80"/>
      </w:pPr>
      <w:r>
        <w:rPr>
          <w:rFonts w:ascii="Yu Gothic" w:hAnsi="Yu Gothic" w:eastAsia="Yu Gothic"/>
          <w:b/>
          <w:color w:val="1F3864"/>
          <w:sz w:val="25"/>
        </w:rPr>
        <w:t>２．実施の背景</w:t>
      </w:r>
    </w:p>
    <w:p>
      <w:pPr>
        <w:spacing w:after="20"/>
      </w:pPr>
      <w:r>
        <w:rPr>
          <w:rFonts w:ascii="Yu Gothic" w:hAnsi="Yu Gothic" w:eastAsia="Yu Gothic"/>
          <w:b/>
          <w:sz w:val="21"/>
        </w:rPr>
        <w:t>① 結婚・出産を機に、お金の使い方を見直す世代</w:t>
      </w:r>
    </w:p>
    <w:p>
      <w:pPr>
        <w:spacing w:after="120"/>
      </w:pPr>
      <w:r>
        <w:rPr>
          <w:rFonts w:ascii="Yu Gothic" w:hAnsi="Yu Gothic" w:eastAsia="Yu Gothic"/>
          <w:b w:val="0"/>
          <w:sz w:val="21"/>
        </w:rPr>
        <w:t>結婚や出産を迎える世代は、支出が増える一方で、将来の資金や万一の備えを具体的に考え始める時期である。</w:t>
      </w:r>
    </w:p>
    <w:p>
      <w:pPr>
        <w:spacing w:after="20"/>
      </w:pPr>
      <w:r>
        <w:rPr>
          <w:rFonts w:ascii="Yu Gothic" w:hAnsi="Yu Gothic" w:eastAsia="Yu Gothic"/>
          <w:b/>
          <w:sz w:val="21"/>
        </w:rPr>
        <w:t>② 預金・積立・保障を組み合わせた、ライフイベントへの備え</w:t>
      </w:r>
    </w:p>
    <w:p>
      <w:pPr>
        <w:spacing w:after="120"/>
      </w:pPr>
      <w:r>
        <w:rPr>
          <w:rFonts w:ascii="Yu Gothic" w:hAnsi="Yu Gothic" w:eastAsia="Yu Gothic"/>
          <w:b w:val="0"/>
          <w:sz w:val="21"/>
        </w:rPr>
        <w:t>直近のイベントに使う資金は預金、将来に向けては積立、万一の備えは保障というように、目的別に整理して案内できる。</w:t>
      </w:r>
    </w:p>
    <w:p>
      <w:pPr>
        <w:pStyle w:val="Heading1"/>
        <w:spacing w:before="240" w:after="80"/>
      </w:pPr>
      <w:r>
        <w:rPr>
          <w:rFonts w:ascii="Yu Gothic" w:hAnsi="Yu Gothic" w:eastAsia="Yu Gothic"/>
          <w:b/>
          <w:color w:val="1F3864"/>
          <w:sz w:val="25"/>
        </w:rPr>
        <w:t>３．目的</w:t>
      </w:r>
    </w:p>
    <w:p>
      <w:pPr>
        <w:spacing w:after="80"/>
      </w:pPr>
      <w:r>
        <w:rPr>
          <w:rFonts w:ascii="Yu Gothic" w:hAnsi="Yu Gothic" w:eastAsia="Yu Gothic"/>
          <w:b w:val="0"/>
          <w:sz w:val="21"/>
        </w:rPr>
        <w:t>若年層がライフイベントに向けた資金計画を相談できる機会を創出し、①円定期預金の新規預入、②積立投資信託の新規設定、③既契約を踏まえた保障の確認と新規契約、④継続的な顧客接点の強化を図る。</w:t>
      </w:r>
    </w:p>
    <w:p>
      <w:pPr>
        <w:pStyle w:val="Heading1"/>
        <w:spacing w:before="240" w:after="80"/>
      </w:pPr>
      <w:r>
        <w:rPr>
          <w:rFonts w:ascii="Yu Gothic" w:hAnsi="Yu Gothic" w:eastAsia="Yu Gothic"/>
          <w:b/>
          <w:color w:val="1F3864"/>
          <w:sz w:val="25"/>
        </w:rPr>
        <w:t>４．実施内容・行内運営</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面談の基本設計</w:t>
            </w:r>
          </w:p>
        </w:tc>
        <w:tc>
          <w:tcPr>
            <w:tcW w:type="dxa" w:w="7257"/>
          </w:tcPr>
          <w:p>
            <w:r/>
            <w:r>
              <w:rPr>
                <w:rFonts w:ascii="Yu Gothic" w:hAnsi="Yu Gothic" w:eastAsia="Yu Gothic"/>
                <w:b w:val="0"/>
                <w:sz w:val="20"/>
              </w:rPr>
              <w:t>予定しているイベント・収支・資金の使い道を確認し、「近く使う資金」「将来に向けて育てる資金」「万一に備える資金」に整理する。</w:t>
            </w:r>
          </w:p>
        </w:tc>
      </w:tr>
      <w:tr>
        <w:trPr>
          <w:cantSplit/>
        </w:trPr>
        <w:tc>
          <w:tcPr>
            <w:tcW w:type="dxa" w:w="2041"/>
            <w:shd w:val="clear" w:color="auto" w:fill="F2F2F2"/>
          </w:tcPr>
          <w:p>
            <w:r/>
            <w:r>
              <w:rPr>
                <w:rFonts w:ascii="Yu Gothic" w:hAnsi="Yu Gothic" w:eastAsia="Yu Gothic"/>
                <w:b/>
                <w:sz w:val="20"/>
              </w:rPr>
              <w:t>提案手段</w:t>
            </w:r>
          </w:p>
        </w:tc>
        <w:tc>
          <w:tcPr>
            <w:tcW w:type="dxa" w:w="7257"/>
          </w:tcPr>
          <w:p>
            <w:r/>
            <w:r>
              <w:rPr>
                <w:rFonts w:ascii="Yu Gothic" w:hAnsi="Yu Gothic" w:eastAsia="Yu Gothic"/>
                <w:b w:val="0"/>
                <w:sz w:val="20"/>
              </w:rPr>
              <w:t>積立投資信託は、金融商品取引法に基づく適合性の原則・説明義務に沿って、商品リスク・費用・元本割れの可能性を必ず案内する。購入を相談の条件にしない。保険は保険業法の意向把握に沿って、既契約の内容を確認したうえで、顧客の意向に応じた保障を提案する。</w:t>
            </w:r>
          </w:p>
        </w:tc>
      </w:tr>
      <w:tr>
        <w:trPr>
          <w:cantSplit/>
        </w:trPr>
        <w:tc>
          <w:tcPr>
            <w:tcW w:type="dxa" w:w="2041"/>
            <w:shd w:val="clear" w:color="auto" w:fill="F2F2F2"/>
          </w:tcPr>
          <w:p>
            <w:r/>
            <w:r>
              <w:rPr>
                <w:rFonts w:ascii="Yu Gothic" w:hAnsi="Yu Gothic" w:eastAsia="Yu Gothic"/>
                <w:b/>
                <w:sz w:val="20"/>
              </w:rPr>
              <w:t>行内の実施体制</w:t>
            </w:r>
          </w:p>
        </w:tc>
        <w:tc>
          <w:tcPr>
            <w:tcW w:type="dxa" w:w="7257"/>
          </w:tcPr>
          <w:p>
            <w:r/>
            <w:r>
              <w:rPr>
                <w:rFonts w:ascii="Yu Gothic" w:hAnsi="Yu Gothic" w:eastAsia="Yu Gothic"/>
                <w:b w:val="0"/>
                <w:sz w:val="20"/>
              </w:rPr>
              <w:t>店頭は簡易ヒアリングと相談予約を担当。保障の相談は保険担当者へ紹介し、紹介結果を記録する。</w:t>
            </w:r>
          </w:p>
        </w:tc>
      </w:tr>
    </w:tbl>
    <w:p>
      <w:pPr>
        <w:spacing w:after="40"/>
      </w:pPr>
    </w:p>
    <w:p>
      <w:pPr>
        <w:pStyle w:val="Heading1"/>
        <w:spacing w:before="240" w:after="80"/>
      </w:pPr>
      <w:r>
        <w:rPr>
          <w:rFonts w:ascii="Yu Gothic" w:hAnsi="Yu Gothic" w:eastAsia="Yu Gothic"/>
          <w:b/>
          <w:color w:val="1F3864"/>
          <w:sz w:val="25"/>
        </w:rPr>
        <w:t>５．プロモーション</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アプリ通知</w:t>
            </w:r>
          </w:p>
        </w:tc>
        <w:tc>
          <w:tcPr>
            <w:tcW w:type="dxa" w:w="7257"/>
          </w:tcPr>
          <w:p>
            <w:r/>
            <w:r>
              <w:rPr>
                <w:rFonts w:ascii="Yu Gothic" w:hAnsi="Yu Gothic" w:eastAsia="Yu Gothic"/>
                <w:b w:val="0"/>
                <w:sz w:val="20"/>
              </w:rPr>
              <w:t>配信同意済みの若年層へ、9月上旬に「ライフイベントの資金相談」の予約導線をPush配信。個人情報保護法に基づく同意の範囲内で行う。</w:t>
            </w:r>
          </w:p>
        </w:tc>
      </w:tr>
      <w:tr>
        <w:trPr>
          <w:cantSplit/>
        </w:trPr>
        <w:tc>
          <w:tcPr>
            <w:tcW w:type="dxa" w:w="2041"/>
            <w:shd w:val="clear" w:color="auto" w:fill="F2F2F2"/>
          </w:tcPr>
          <w:p>
            <w:r/>
            <w:r>
              <w:rPr>
                <w:rFonts w:ascii="Yu Gothic" w:hAnsi="Yu Gothic" w:eastAsia="Yu Gothic"/>
                <w:b/>
                <w:sz w:val="20"/>
              </w:rPr>
              <w:t>店頭</w:t>
            </w:r>
          </w:p>
        </w:tc>
        <w:tc>
          <w:tcPr>
            <w:tcW w:type="dxa" w:w="7257"/>
          </w:tcPr>
          <w:p>
            <w:r/>
            <w:r>
              <w:rPr>
                <w:rFonts w:ascii="Yu Gothic" w:hAnsi="Yu Gothic" w:eastAsia="Yu Gothic"/>
                <w:b w:val="0"/>
                <w:sz w:val="20"/>
              </w:rPr>
              <w:t>結婚・出産に関する手続きや相談の来店者へ案内カードを配布。商品購入を相談受付の条件にしない。</w:t>
            </w:r>
          </w:p>
        </w:tc>
      </w:tr>
      <w:tr>
        <w:trPr>
          <w:cantSplit/>
        </w:trPr>
        <w:tc>
          <w:tcPr>
            <w:tcW w:type="dxa" w:w="2041"/>
            <w:shd w:val="clear" w:color="auto" w:fill="F2F2F2"/>
          </w:tcPr>
          <w:p>
            <w:r/>
            <w:r>
              <w:rPr>
                <w:rFonts w:ascii="Yu Gothic" w:hAnsi="Yu Gothic" w:eastAsia="Yu Gothic"/>
                <w:b/>
                <w:sz w:val="20"/>
              </w:rPr>
              <w:t>Web・行内</w:t>
            </w:r>
          </w:p>
        </w:tc>
        <w:tc>
          <w:tcPr>
            <w:tcW w:type="dxa" w:w="7257"/>
          </w:tcPr>
          <w:p>
            <w:r/>
            <w:r>
              <w:rPr>
                <w:rFonts w:ascii="Yu Gothic" w:hAnsi="Yu Gothic" w:eastAsia="Yu Gothic"/>
                <w:b w:val="0"/>
                <w:sz w:val="20"/>
              </w:rPr>
              <w:t>ホームページに相談テーマ例を掲載。説明資料・FAQ・適合性確認手順・紹介ルールを行内共有する。</w:t>
            </w:r>
          </w:p>
        </w:tc>
      </w:tr>
    </w:tbl>
    <w:p>
      <w:pPr>
        <w:spacing w:after="40"/>
      </w:pPr>
    </w:p>
    <w:p>
      <w:pPr>
        <w:pStyle w:val="Heading1"/>
        <w:spacing w:before="240" w:after="80"/>
      </w:pPr>
      <w:r>
        <w:rPr>
          <w:rFonts w:ascii="Yu Gothic" w:hAnsi="Yu Gothic" w:eastAsia="Yu Gothic"/>
          <w:b/>
          <w:color w:val="1F3864"/>
          <w:sz w:val="25"/>
        </w:rPr>
        <w:t>６．KPI</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主KPI</w:t>
            </w:r>
          </w:p>
        </w:tc>
        <w:tc>
          <w:tcPr>
            <w:tcW w:type="dxa" w:w="7257"/>
          </w:tcPr>
          <w:p>
            <w:r/>
            <w:r>
              <w:rPr>
                <w:rFonts w:ascii="Yu Gothic" w:hAnsi="Yu Gothic" w:eastAsia="Yu Gothic"/>
                <w:b w:val="0"/>
                <w:sz w:val="20"/>
              </w:rPr>
              <w:t>積立投資信託の新規設定：50件／円定期預金の新規預入額：1.0億円／保険新規契約：20件（仮置き）</w:t>
            </w:r>
          </w:p>
        </w:tc>
      </w:tr>
      <w:tr>
        <w:trPr>
          <w:cantSplit/>
        </w:trPr>
        <w:tc>
          <w:tcPr>
            <w:tcW w:type="dxa" w:w="2041"/>
            <w:shd w:val="clear" w:color="auto" w:fill="F2F2F2"/>
          </w:tcPr>
          <w:p>
            <w:r/>
            <w:r>
              <w:rPr>
                <w:rFonts w:ascii="Yu Gothic" w:hAnsi="Yu Gothic" w:eastAsia="Yu Gothic"/>
                <w:b/>
                <w:sz w:val="20"/>
              </w:rPr>
              <w:t>活動KPI</w:t>
            </w:r>
          </w:p>
        </w:tc>
        <w:tc>
          <w:tcPr>
            <w:tcW w:type="dxa" w:w="7257"/>
          </w:tcPr>
          <w:p>
            <w:r/>
            <w:r>
              <w:rPr>
                <w:rFonts w:ascii="Yu Gothic" w:hAnsi="Yu Gothic" w:eastAsia="Yu Gothic"/>
                <w:b w:val="0"/>
                <w:sz w:val="20"/>
              </w:rPr>
              <w:t>案内対象：2,500件／相談予約：140件／相談実施：100件／保険担当への紹介：50件（仮置き）</w:t>
            </w:r>
          </w:p>
        </w:tc>
      </w:tr>
      <w:tr>
        <w:trPr>
          <w:cantSplit/>
        </w:trPr>
        <w:tc>
          <w:tcPr>
            <w:tcW w:type="dxa" w:w="2041"/>
            <w:shd w:val="clear" w:color="auto" w:fill="F2F2F2"/>
          </w:tcPr>
          <w:p>
            <w:r/>
            <w:r>
              <w:rPr>
                <w:rFonts w:ascii="Yu Gothic" w:hAnsi="Yu Gothic" w:eastAsia="Yu Gothic"/>
                <w:b/>
                <w:sz w:val="20"/>
              </w:rPr>
              <w:t>管理方法</w:t>
            </w:r>
          </w:p>
        </w:tc>
        <w:tc>
          <w:tcPr>
            <w:tcW w:type="dxa" w:w="7257"/>
          </w:tcPr>
          <w:p>
            <w:r/>
            <w:r>
              <w:rPr>
                <w:rFonts w:ascii="Yu Gothic" w:hAnsi="Yu Gothic" w:eastAsia="Yu Gothic"/>
                <w:b w:val="0"/>
                <w:sz w:val="20"/>
              </w:rPr>
              <w:t>月次で対象数・面談・実績をチャネル別に集計。過去実績・母集団・稼働人数で補正する。</w:t>
            </w:r>
          </w:p>
        </w:tc>
      </w:tr>
    </w:tbl>
    <w:p>
      <w:pPr>
        <w:spacing w:after="40"/>
      </w:pPr>
    </w:p>
    <w:p>
      <w:pPr>
        <w:pStyle w:val="Heading1"/>
        <w:spacing w:before="240" w:after="80"/>
      </w:pPr>
      <w:r>
        <w:rPr>
          <w:rFonts w:ascii="Yu Gothic" w:hAnsi="Yu Gothic" w:eastAsia="Yu Gothic"/>
          <w:b/>
          <w:color w:val="1F3864"/>
          <w:sz w:val="25"/>
        </w:rPr>
        <w:t>７．使用システム</w:t>
      </w:r>
    </w:p>
    <w:tbl>
      <w:tblPr>
        <w:tblStyle w:val="TableGrid"/>
        <w:tblW w:type="auto" w:w="0"/>
        <w:jc w:val="center"/>
        <w:tblLayout w:type="fixed"/>
        <w:tblLook w:firstColumn="1" w:firstRow="1" w:lastColumn="0" w:lastRow="0" w:noHBand="0" w:noVBand="1" w:val="04A0"/>
      </w:tblPr>
      <w:tblGrid>
        <w:gridCol w:w="1928"/>
        <w:gridCol w:w="2608"/>
        <w:gridCol w:w="4762"/>
      </w:tblGrid>
      <w:tr>
        <w:trPr>
          <w:cantSplit/>
        </w:trPr>
        <w:tc>
          <w:tcPr>
            <w:tcW w:type="dxa" w:w="1928"/>
            <w:shd w:val="clear" w:color="auto" w:fill="23496B"/>
          </w:tcPr>
          <w:p>
            <w:pPr>
              <w:spacing w:before="80" w:after="80"/>
            </w:pPr>
            <w:r/>
            <w:r>
              <w:rPr>
                <w:rFonts w:ascii="Yu Gothic" w:hAnsi="Yu Gothic" w:eastAsia="Yu Gothic"/>
                <w:b/>
                <w:color w:val="FFFFFF"/>
                <w:sz w:val="20"/>
              </w:rPr>
              <w:t>用途</w:t>
            </w:r>
          </w:p>
        </w:tc>
        <w:tc>
          <w:tcPr>
            <w:tcW w:type="dxa" w:w="2608"/>
            <w:shd w:val="clear" w:color="auto" w:fill="23496B"/>
          </w:tcPr>
          <w:p>
            <w:pPr>
              <w:spacing w:before="80" w:after="80"/>
            </w:pPr>
            <w:r/>
            <w:r>
              <w:rPr>
                <w:rFonts w:ascii="Yu Gothic" w:hAnsi="Yu Gothic" w:eastAsia="Yu Gothic"/>
                <w:b/>
                <w:color w:val="FFFFFF"/>
                <w:sz w:val="20"/>
              </w:rPr>
              <w:t>使用システム</w:t>
            </w:r>
          </w:p>
        </w:tc>
        <w:tc>
          <w:tcPr>
            <w:tcW w:type="dxa" w:w="4762"/>
            <w:shd w:val="clear" w:color="auto" w:fill="23496B"/>
          </w:tcPr>
          <w:p>
            <w:pPr>
              <w:spacing w:before="80" w:after="80"/>
            </w:pPr>
            <w:r/>
            <w:r>
              <w:rPr>
                <w:rFonts w:ascii="Yu Gothic" w:hAnsi="Yu Gothic" w:eastAsia="Yu Gothic"/>
                <w:b/>
                <w:color w:val="FFFFFF"/>
                <w:sz w:val="20"/>
              </w:rPr>
              <w:t>企画で想定する利用方法（参考）</w:t>
            </w:r>
          </w:p>
        </w:tc>
      </w:tr>
      <w:tr>
        <w:trPr>
          <w:cantSplit/>
        </w:trPr>
        <w:tc>
          <w:tcPr>
            <w:tcW w:type="dxa" w:w="1928"/>
            <w:shd w:val="clear" w:color="auto" w:fill="FFFFFF"/>
          </w:tcPr>
          <w:p>
            <w:pPr>
              <w:spacing w:before="80" w:after="80"/>
            </w:pPr>
            <w:r/>
            <w:r>
              <w:rPr>
                <w:rFonts w:ascii="Yu Gothic" w:hAnsi="Yu Gothic" w:eastAsia="Yu Gothic"/>
                <w:b/>
                <w:sz w:val="20"/>
              </w:rPr>
              <w:t>顧客抽出・接点</w:t>
            </w:r>
          </w:p>
        </w:tc>
        <w:tc>
          <w:tcPr>
            <w:tcW w:type="dxa" w:w="2608"/>
            <w:shd w:val="clear" w:color="auto" w:fill="FFFFFF"/>
          </w:tcPr>
          <w:p>
            <w:pPr>
              <w:spacing w:before="80" w:after="80"/>
            </w:pPr>
            <w:r/>
            <w:r>
              <w:rPr>
                <w:rFonts w:ascii="Yu Gothic" w:hAnsi="Yu Gothic" w:eastAsia="Yu Gothic"/>
                <w:b w:val="0"/>
                <w:sz w:val="20"/>
              </w:rPr>
              <w:t>顧客管理システム</w:t>
            </w:r>
          </w:p>
        </w:tc>
        <w:tc>
          <w:tcPr>
            <w:tcW w:type="dxa" w:w="4762"/>
            <w:shd w:val="clear" w:color="auto" w:fill="FFFFFF"/>
          </w:tcPr>
          <w:p>
            <w:pPr>
              <w:spacing w:before="80" w:after="80"/>
            </w:pPr>
            <w:r/>
            <w:r>
              <w:rPr>
                <w:rFonts w:ascii="Yu Gothic" w:hAnsi="Yu Gothic" w:eastAsia="Yu Gothic"/>
                <w:b w:val="0"/>
                <w:sz w:val="20"/>
              </w:rPr>
              <w:t>案内対象の抽出・除外、接触履歴の管理。保持項目・権限は要確認。</w:t>
            </w:r>
          </w:p>
        </w:tc>
      </w:tr>
      <w:tr>
        <w:trPr>
          <w:cantSplit/>
        </w:trPr>
        <w:tc>
          <w:tcPr>
            <w:tcW w:type="dxa" w:w="1928"/>
            <w:shd w:val="clear" w:color="auto" w:fill="EAF0F7"/>
          </w:tcPr>
          <w:p>
            <w:pPr>
              <w:spacing w:before="80" w:after="80"/>
            </w:pPr>
            <w:r/>
            <w:r>
              <w:rPr>
                <w:rFonts w:ascii="Yu Gothic" w:hAnsi="Yu Gothic" w:eastAsia="Yu Gothic"/>
                <w:b/>
                <w:sz w:val="20"/>
              </w:rPr>
              <w:t>積立投信の受付</w:t>
            </w:r>
          </w:p>
        </w:tc>
        <w:tc>
          <w:tcPr>
            <w:tcW w:type="dxa" w:w="2608"/>
            <w:shd w:val="clear" w:color="auto" w:fill="EAF0F7"/>
          </w:tcPr>
          <w:p>
            <w:pPr>
              <w:spacing w:before="80" w:after="80"/>
            </w:pPr>
            <w:r/>
            <w:r>
              <w:rPr>
                <w:rFonts w:ascii="Yu Gothic" w:hAnsi="Yu Gothic" w:eastAsia="Yu Gothic"/>
                <w:b w:val="0"/>
                <w:sz w:val="20"/>
              </w:rPr>
              <w:t>預り資産販売システム</w:t>
            </w:r>
          </w:p>
        </w:tc>
        <w:tc>
          <w:tcPr>
            <w:tcW w:type="dxa" w:w="4762"/>
            <w:shd w:val="clear" w:color="auto" w:fill="EAF0F7"/>
          </w:tcPr>
          <w:p>
            <w:pPr>
              <w:spacing w:before="80" w:after="80"/>
            </w:pPr>
            <w:r/>
            <w:r>
              <w:rPr>
                <w:rFonts w:ascii="Yu Gothic" w:hAnsi="Yu Gothic" w:eastAsia="Yu Gothic"/>
                <w:b w:val="0"/>
                <w:sz w:val="20"/>
              </w:rPr>
              <w:t>積立投資信託の設定受付を想定。処理範囲を要確認。</w:t>
            </w:r>
          </w:p>
        </w:tc>
      </w:tr>
      <w:tr>
        <w:trPr>
          <w:cantSplit/>
        </w:trPr>
        <w:tc>
          <w:tcPr>
            <w:tcW w:type="dxa" w:w="1928"/>
            <w:shd w:val="clear" w:color="auto" w:fill="FFFFFF"/>
          </w:tcPr>
          <w:p>
            <w:pPr>
              <w:spacing w:before="80" w:after="80"/>
            </w:pPr>
            <w:r/>
            <w:r>
              <w:rPr>
                <w:rFonts w:ascii="Yu Gothic" w:hAnsi="Yu Gothic" w:eastAsia="Yu Gothic"/>
                <w:b/>
                <w:sz w:val="20"/>
              </w:rPr>
              <w:t>投信の実績確認</w:t>
            </w:r>
          </w:p>
        </w:tc>
        <w:tc>
          <w:tcPr>
            <w:tcW w:type="dxa" w:w="2608"/>
            <w:shd w:val="clear" w:color="auto" w:fill="FFFFFF"/>
          </w:tcPr>
          <w:p>
            <w:pPr>
              <w:spacing w:before="80" w:after="80"/>
            </w:pPr>
            <w:r/>
            <w:r>
              <w:rPr>
                <w:rFonts w:ascii="Yu Gothic" w:hAnsi="Yu Gothic" w:eastAsia="Yu Gothic"/>
                <w:b w:val="0"/>
                <w:sz w:val="20"/>
              </w:rPr>
              <w:t>投資信託管理システム</w:t>
            </w:r>
          </w:p>
        </w:tc>
        <w:tc>
          <w:tcPr>
            <w:tcW w:type="dxa" w:w="4762"/>
            <w:shd w:val="clear" w:color="auto" w:fill="FFFFFF"/>
          </w:tcPr>
          <w:p>
            <w:pPr>
              <w:spacing w:before="80" w:after="80"/>
            </w:pPr>
            <w:r/>
            <w:r>
              <w:rPr>
                <w:rFonts w:ascii="Yu Gothic" w:hAnsi="Yu Gothic" w:eastAsia="Yu Gothic"/>
                <w:b w:val="0"/>
                <w:sz w:val="20"/>
              </w:rPr>
              <w:t>購入額・設定件数の確認。</w:t>
            </w:r>
          </w:p>
        </w:tc>
      </w:tr>
      <w:tr>
        <w:trPr>
          <w:cantSplit/>
        </w:trPr>
        <w:tc>
          <w:tcPr>
            <w:tcW w:type="dxa" w:w="1928"/>
            <w:shd w:val="clear" w:color="auto" w:fill="EAF0F7"/>
          </w:tcPr>
          <w:p>
            <w:pPr>
              <w:spacing w:before="80" w:after="80"/>
            </w:pPr>
            <w:r/>
            <w:r>
              <w:rPr>
                <w:rFonts w:ascii="Yu Gothic" w:hAnsi="Yu Gothic" w:eastAsia="Yu Gothic"/>
                <w:b/>
                <w:sz w:val="20"/>
              </w:rPr>
              <w:t>預入実績の確認</w:t>
            </w:r>
          </w:p>
        </w:tc>
        <w:tc>
          <w:tcPr>
            <w:tcW w:type="dxa" w:w="2608"/>
            <w:shd w:val="clear" w:color="auto" w:fill="EAF0F7"/>
          </w:tcPr>
          <w:p>
            <w:pPr>
              <w:spacing w:before="80" w:after="80"/>
            </w:pPr>
            <w:r/>
            <w:r>
              <w:rPr>
                <w:rFonts w:ascii="Yu Gothic" w:hAnsi="Yu Gothic" w:eastAsia="Yu Gothic"/>
                <w:b w:val="0"/>
                <w:sz w:val="20"/>
              </w:rPr>
              <w:t>勘定系システム</w:t>
            </w:r>
          </w:p>
        </w:tc>
        <w:tc>
          <w:tcPr>
            <w:tcW w:type="dxa" w:w="4762"/>
            <w:shd w:val="clear" w:color="auto" w:fill="EAF0F7"/>
          </w:tcPr>
          <w:p>
            <w:pPr>
              <w:spacing w:before="80" w:after="80"/>
            </w:pPr>
            <w:r/>
            <w:r>
              <w:rPr>
                <w:rFonts w:ascii="Yu Gothic" w:hAnsi="Yu Gothic" w:eastAsia="Yu Gothic"/>
                <w:b w:val="0"/>
                <w:sz w:val="20"/>
              </w:rPr>
              <w:t>円定期預金の新規預入額の確認。データ連携可否を要確認。</w:t>
            </w:r>
          </w:p>
        </w:tc>
      </w:tr>
      <w:tr>
        <w:trPr>
          <w:cantSplit/>
        </w:trPr>
        <w:tc>
          <w:tcPr>
            <w:tcW w:type="dxa" w:w="1928"/>
            <w:shd w:val="clear" w:color="auto" w:fill="FFFFFF"/>
          </w:tcPr>
          <w:p>
            <w:pPr>
              <w:spacing w:before="80" w:after="80"/>
            </w:pPr>
            <w:r/>
            <w:r>
              <w:rPr>
                <w:rFonts w:ascii="Yu Gothic" w:hAnsi="Yu Gothic" w:eastAsia="Yu Gothic"/>
                <w:b/>
                <w:sz w:val="20"/>
              </w:rPr>
              <w:t>保障の試算</w:t>
            </w:r>
          </w:p>
        </w:tc>
        <w:tc>
          <w:tcPr>
            <w:tcW w:type="dxa" w:w="2608"/>
            <w:shd w:val="clear" w:color="auto" w:fill="FFFFFF"/>
          </w:tcPr>
          <w:p>
            <w:pPr>
              <w:spacing w:before="80" w:after="80"/>
            </w:pPr>
            <w:r/>
            <w:r>
              <w:rPr>
                <w:rFonts w:ascii="Yu Gothic" w:hAnsi="Yu Gothic" w:eastAsia="Yu Gothic"/>
                <w:b w:val="0"/>
                <w:sz w:val="20"/>
              </w:rPr>
              <w:t>保険試算システム</w:t>
            </w:r>
          </w:p>
        </w:tc>
        <w:tc>
          <w:tcPr>
            <w:tcW w:type="dxa" w:w="4762"/>
            <w:shd w:val="clear" w:color="auto" w:fill="FFFFFF"/>
          </w:tcPr>
          <w:p>
            <w:pPr>
              <w:spacing w:before="80" w:after="80"/>
            </w:pPr>
            <w:r/>
            <w:r>
              <w:rPr>
                <w:rFonts w:ascii="Yu Gothic" w:hAnsi="Yu Gothic" w:eastAsia="Yu Gothic"/>
                <w:b w:val="0"/>
                <w:sz w:val="20"/>
              </w:rPr>
              <w:t>顧客の状況に応じた保障額の試算。利用範囲を要確認。</w:t>
            </w:r>
          </w:p>
        </w:tc>
      </w:tr>
      <w:tr>
        <w:trPr>
          <w:cantSplit/>
        </w:trPr>
        <w:tc>
          <w:tcPr>
            <w:tcW w:type="dxa" w:w="1928"/>
            <w:shd w:val="clear" w:color="auto" w:fill="EAF0F7"/>
          </w:tcPr>
          <w:p>
            <w:pPr>
              <w:spacing w:before="80" w:after="80"/>
            </w:pPr>
            <w:r/>
            <w:r>
              <w:rPr>
                <w:rFonts w:ascii="Yu Gothic" w:hAnsi="Yu Gothic" w:eastAsia="Yu Gothic"/>
                <w:b/>
                <w:sz w:val="20"/>
              </w:rPr>
              <w:t>保険申込受付</w:t>
            </w:r>
          </w:p>
        </w:tc>
        <w:tc>
          <w:tcPr>
            <w:tcW w:type="dxa" w:w="2608"/>
            <w:shd w:val="clear" w:color="auto" w:fill="EAF0F7"/>
          </w:tcPr>
          <w:p>
            <w:pPr>
              <w:spacing w:before="80" w:after="80"/>
            </w:pPr>
            <w:r/>
            <w:r>
              <w:rPr>
                <w:rFonts w:ascii="Yu Gothic" w:hAnsi="Yu Gothic" w:eastAsia="Yu Gothic"/>
                <w:b w:val="0"/>
                <w:sz w:val="20"/>
              </w:rPr>
              <w:t>保険受付システム</w:t>
            </w:r>
          </w:p>
        </w:tc>
        <w:tc>
          <w:tcPr>
            <w:tcW w:type="dxa" w:w="4762"/>
            <w:shd w:val="clear" w:color="auto" w:fill="EAF0F7"/>
          </w:tcPr>
          <w:p>
            <w:pPr>
              <w:spacing w:before="80" w:after="80"/>
            </w:pPr>
            <w:r/>
            <w:r>
              <w:rPr>
                <w:rFonts w:ascii="Yu Gothic" w:hAnsi="Yu Gothic" w:eastAsia="Yu Gothic"/>
                <w:b w:val="0"/>
                <w:sz w:val="20"/>
              </w:rPr>
              <w:t>顧客意向に応じた保険申込の受付を想定。処理範囲を要確認。</w:t>
            </w:r>
          </w:p>
        </w:tc>
      </w:tr>
      <w:tr>
        <w:trPr>
          <w:cantSplit/>
        </w:trPr>
        <w:tc>
          <w:tcPr>
            <w:tcW w:type="dxa" w:w="1928"/>
            <w:shd w:val="clear" w:color="auto" w:fill="FFFFFF"/>
          </w:tcPr>
          <w:p>
            <w:pPr>
              <w:spacing w:before="80" w:after="80"/>
            </w:pPr>
            <w:r/>
            <w:r>
              <w:rPr>
                <w:rFonts w:ascii="Yu Gothic" w:hAnsi="Yu Gothic" w:eastAsia="Yu Gothic"/>
                <w:b/>
                <w:sz w:val="20"/>
              </w:rPr>
              <w:t>アプリ通知</w:t>
            </w:r>
          </w:p>
        </w:tc>
        <w:tc>
          <w:tcPr>
            <w:tcW w:type="dxa" w:w="2608"/>
            <w:shd w:val="clear" w:color="auto" w:fill="FFFFFF"/>
          </w:tcPr>
          <w:p>
            <w:pPr>
              <w:spacing w:before="80" w:after="80"/>
            </w:pPr>
            <w:r/>
            <w:r>
              <w:rPr>
                <w:rFonts w:ascii="Yu Gothic" w:hAnsi="Yu Gothic" w:eastAsia="Yu Gothic"/>
                <w:b w:val="0"/>
                <w:sz w:val="20"/>
              </w:rPr>
              <w:t>顧客向けアプリ</w:t>
            </w:r>
          </w:p>
        </w:tc>
        <w:tc>
          <w:tcPr>
            <w:tcW w:type="dxa" w:w="4762"/>
            <w:shd w:val="clear" w:color="auto" w:fill="FFFFFF"/>
          </w:tcPr>
          <w:p>
            <w:pPr>
              <w:spacing w:before="80" w:after="80"/>
            </w:pPr>
            <w:r/>
            <w:r>
              <w:rPr>
                <w:rFonts w:ascii="Yu Gothic" w:hAnsi="Yu Gothic" w:eastAsia="Yu Gothic"/>
                <w:b w:val="0"/>
                <w:sz w:val="20"/>
              </w:rPr>
              <w:t>Push通知の配信を想定。配信機能、対象抽出、配信同意を要確認。</w:t>
            </w:r>
          </w:p>
        </w:tc>
      </w:tr>
    </w:tbl>
    <w:p>
      <w:pPr>
        <w:spacing w:after="40"/>
      </w:pPr>
    </w:p>
    <w:p>
      <w:pPr>
        <w:spacing w:after="160"/>
        <w:jc w:val="right"/>
      </w:pPr>
      <w:r>
        <w:rPr>
          <w:rFonts w:ascii="Yu Gothic" w:hAnsi="Yu Gothic" w:eastAsia="Yu Gothic"/>
          <w:b w:val="0"/>
          <w:sz w:val="21"/>
        </w:rPr>
        <w:t>以上</w:t>
      </w:r>
    </w:p>
    <w:p>
      <w:pPr>
        <w:spacing w:after="80"/>
        <w:jc w:val="center"/>
      </w:pPr>
      <w:r>
        <w:rPr>
          <w:rFonts w:ascii="Yu Gothic" w:hAnsi="Yu Gothic" w:eastAsia="Yu Gothic"/>
          <w:b w:val="0"/>
          <w:color w:val="7F7F7F"/>
          <w:sz w:val="18"/>
        </w:rPr>
        <w:t>社内検討用｜本企画・数値・利用システムは仮置き</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