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Yu Gothic" w:hAnsi="Yu Gothic" w:eastAsia="Yu Gothic"/>
          <w:b w:val="0"/>
          <w:sz w:val="20"/>
        </w:rPr>
        <w:t>2026年10月12日　営業企画部</w:t>
      </w:r>
    </w:p>
    <w:p>
      <w:pPr>
        <w:spacing w:after="200"/>
        <w:jc w:val="center"/>
      </w:pPr>
      <w:r>
        <w:rPr>
          <w:rFonts w:ascii="Yu Gothic" w:hAnsi="Yu Gothic" w:eastAsia="Yu Gothic"/>
          <w:b/>
          <w:color w:val="1F3864"/>
          <w:sz w:val="32"/>
        </w:rPr>
        <w:t>退職後の資産活用・保障見直し相談会の実施について</w:t>
      </w:r>
    </w:p>
    <w:p>
      <w:pPr>
        <w:pStyle w:val="Heading1"/>
        <w:spacing w:before="240" w:after="80"/>
      </w:pPr>
      <w:r>
        <w:rPr>
          <w:rFonts w:ascii="Yu Gothic" w:hAnsi="Yu Gothic" w:eastAsia="Yu Gothic"/>
          <w:b/>
          <w:color w:val="1F3864"/>
          <w:sz w:val="25"/>
        </w:rPr>
        <w:t>１．企画概要</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対象商品</w:t>
            </w:r>
          </w:p>
        </w:tc>
        <w:tc>
          <w:tcPr>
            <w:tcW w:type="dxa" w:w="7257"/>
          </w:tcPr>
          <w:p>
            <w:r/>
            <w:r>
              <w:rPr>
                <w:rFonts w:ascii="Yu Gothic" w:hAnsi="Yu Gothic" w:eastAsia="Yu Gothic"/>
                <w:b w:val="0"/>
                <w:sz w:val="20"/>
              </w:rPr>
              <w:t>投資信託／平準払保険（医療・介護）</w:t>
            </w:r>
          </w:p>
        </w:tc>
      </w:tr>
      <w:tr>
        <w:trPr>
          <w:cantSplit/>
        </w:trPr>
        <w:tc>
          <w:tcPr>
            <w:tcW w:type="dxa" w:w="2041"/>
            <w:shd w:val="clear" w:color="auto" w:fill="F2F2F2"/>
          </w:tcPr>
          <w:p>
            <w:r/>
            <w:r>
              <w:rPr>
                <w:rFonts w:ascii="Yu Gothic" w:hAnsi="Yu Gothic" w:eastAsia="Yu Gothic"/>
                <w:b/>
                <w:sz w:val="20"/>
              </w:rPr>
              <w:t>ターゲット層</w:t>
            </w:r>
          </w:p>
        </w:tc>
        <w:tc>
          <w:tcPr>
            <w:tcW w:type="dxa" w:w="7257"/>
          </w:tcPr>
          <w:p>
            <w:r/>
            <w:r>
              <w:rPr>
                <w:rFonts w:ascii="Yu Gothic" w:hAnsi="Yu Gothic" w:eastAsia="Yu Gothic"/>
                <w:b w:val="0"/>
                <w:sz w:val="20"/>
              </w:rPr>
              <w:t>高齢層</w:t>
            </w:r>
          </w:p>
        </w:tc>
      </w:tr>
      <w:tr>
        <w:trPr>
          <w:cantSplit/>
        </w:trPr>
        <w:tc>
          <w:tcPr>
            <w:tcW w:type="dxa" w:w="2041"/>
            <w:shd w:val="clear" w:color="auto" w:fill="F2F2F2"/>
          </w:tcPr>
          <w:p>
            <w:r/>
            <w:r>
              <w:rPr>
                <w:rFonts w:ascii="Yu Gothic" w:hAnsi="Yu Gothic" w:eastAsia="Yu Gothic"/>
                <w:b/>
                <w:sz w:val="20"/>
              </w:rPr>
              <w:t>実施期間</w:t>
            </w:r>
          </w:p>
        </w:tc>
        <w:tc>
          <w:tcPr>
            <w:tcW w:type="dxa" w:w="7257"/>
          </w:tcPr>
          <w:p>
            <w:r/>
            <w:r>
              <w:rPr>
                <w:rFonts w:ascii="Yu Gothic" w:hAnsi="Yu Gothic" w:eastAsia="Yu Gothic"/>
                <w:b w:val="0"/>
                <w:sz w:val="20"/>
              </w:rPr>
              <w:t>2027年9月1日～2027年11月30日</w:t>
            </w:r>
          </w:p>
        </w:tc>
      </w:tr>
    </w:tbl>
    <w:p>
      <w:pPr>
        <w:spacing w:after="40"/>
      </w:pPr>
    </w:p>
    <w:p>
      <w:pPr>
        <w:pStyle w:val="Heading1"/>
        <w:spacing w:before="240" w:after="80"/>
      </w:pPr>
      <w:r>
        <w:rPr>
          <w:rFonts w:ascii="Yu Gothic" w:hAnsi="Yu Gothic" w:eastAsia="Yu Gothic"/>
          <w:b/>
          <w:color w:val="1F3864"/>
          <w:sz w:val="25"/>
        </w:rPr>
        <w:t>２．実施の背景</w:t>
      </w:r>
    </w:p>
    <w:p>
      <w:pPr>
        <w:spacing w:after="20"/>
      </w:pPr>
      <w:r>
        <w:rPr>
          <w:rFonts w:ascii="Yu Gothic" w:hAnsi="Yu Gothic" w:eastAsia="Yu Gothic"/>
          <w:b/>
          <w:sz w:val="21"/>
        </w:rPr>
        <w:t>① 退職金の受取り・年金生活の開始に伴う資産の見直し</w:t>
      </w:r>
    </w:p>
    <w:p>
      <w:pPr>
        <w:spacing w:after="120"/>
      </w:pPr>
      <w:r>
        <w:rPr>
          <w:rFonts w:ascii="Yu Gothic" w:hAnsi="Yu Gothic" w:eastAsia="Yu Gothic"/>
          <w:b w:val="0"/>
          <w:sz w:val="21"/>
        </w:rPr>
        <w:t>退職や年金受給の開始を機に、収入が給与から年金中心に変わり、資産を「使う分」と「備える分」に分けて考える機会が生まれる。</w:t>
      </w:r>
    </w:p>
    <w:p>
      <w:pPr>
        <w:spacing w:after="20"/>
      </w:pPr>
      <w:r>
        <w:rPr>
          <w:rFonts w:ascii="Yu Gothic" w:hAnsi="Yu Gothic" w:eastAsia="Yu Gothic"/>
          <w:b/>
          <w:sz w:val="21"/>
        </w:rPr>
        <w:t>② 医療・介護費用への備えと、無理のない運用の整理</w:t>
      </w:r>
    </w:p>
    <w:p>
      <w:pPr>
        <w:spacing w:after="120"/>
      </w:pPr>
      <w:r>
        <w:rPr>
          <w:rFonts w:ascii="Yu Gothic" w:hAnsi="Yu Gothic" w:eastAsia="Yu Gothic"/>
          <w:b w:val="0"/>
          <w:sz w:val="21"/>
        </w:rPr>
        <w:t>医療・介護の費用に対する保障の過不足を確認するとともに、運用資産の値動きを踏まえた無理のない範囲の運用を整理できる。</w:t>
      </w:r>
    </w:p>
    <w:p>
      <w:pPr>
        <w:pStyle w:val="Heading1"/>
        <w:spacing w:before="240" w:after="80"/>
      </w:pPr>
      <w:r>
        <w:rPr>
          <w:rFonts w:ascii="Yu Gothic" w:hAnsi="Yu Gothic" w:eastAsia="Yu Gothic"/>
          <w:b/>
          <w:color w:val="1F3864"/>
          <w:sz w:val="25"/>
        </w:rPr>
        <w:t>３．目的</w:t>
      </w:r>
    </w:p>
    <w:p>
      <w:pPr>
        <w:spacing w:after="80"/>
      </w:pPr>
      <w:r>
        <w:rPr>
          <w:rFonts w:ascii="Yu Gothic" w:hAnsi="Yu Gothic" w:eastAsia="Yu Gothic"/>
          <w:b w:val="0"/>
          <w:sz w:val="21"/>
        </w:rPr>
        <w:t>高齢層が資産の使い道と保障の備えを一体で相談できる機会を創出し、①投資信託の適合性を踏まえた取引機会、②既契約を踏まえた保障の確認と新規契約、③家族を含めた継続的な顧客接点の強化を図る。</w:t>
      </w:r>
    </w:p>
    <w:p>
      <w:pPr>
        <w:pStyle w:val="Heading1"/>
        <w:spacing w:before="240" w:after="80"/>
      </w:pPr>
      <w:r>
        <w:rPr>
          <w:rFonts w:ascii="Yu Gothic" w:hAnsi="Yu Gothic" w:eastAsia="Yu Gothic"/>
          <w:b/>
          <w:color w:val="1F3864"/>
          <w:sz w:val="25"/>
        </w:rPr>
        <w:t>４．実施内容・行内運営</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面談の基本設計</w:t>
            </w:r>
          </w:p>
        </w:tc>
        <w:tc>
          <w:tcPr>
            <w:tcW w:type="dxa" w:w="7257"/>
          </w:tcPr>
          <w:p>
            <w:r/>
            <w:r>
              <w:rPr>
                <w:rFonts w:ascii="Yu Gothic" w:hAnsi="Yu Gothic" w:eastAsia="Yu Gothic"/>
                <w:b w:val="0"/>
                <w:sz w:val="20"/>
              </w:rPr>
              <w:t>収支・資産の内訳・取崩しの予定・医療介護への備えを確認する。ご家族の同席も案内し、一度の面談で結論を出さない。</w:t>
            </w:r>
          </w:p>
        </w:tc>
      </w:tr>
      <w:tr>
        <w:trPr>
          <w:cantSplit/>
        </w:trPr>
        <w:tc>
          <w:tcPr>
            <w:tcW w:type="dxa" w:w="2041"/>
            <w:shd w:val="clear" w:color="auto" w:fill="F2F2F2"/>
          </w:tcPr>
          <w:p>
            <w:r/>
            <w:r>
              <w:rPr>
                <w:rFonts w:ascii="Yu Gothic" w:hAnsi="Yu Gothic" w:eastAsia="Yu Gothic"/>
                <w:b/>
                <w:sz w:val="20"/>
              </w:rPr>
              <w:t>提案手段</w:t>
            </w:r>
          </w:p>
        </w:tc>
        <w:tc>
          <w:tcPr>
            <w:tcW w:type="dxa" w:w="7257"/>
          </w:tcPr>
          <w:p>
            <w:r/>
            <w:r>
              <w:rPr>
                <w:rFonts w:ascii="Yu Gothic" w:hAnsi="Yu Gothic" w:eastAsia="Yu Gothic"/>
                <w:b w:val="0"/>
                <w:sz w:val="20"/>
              </w:rPr>
              <w:t>高齢顧客への配慮として、金融商品取引法の適合性の原則に沿って投資信託の商品リスク・費用・元本割れの可能性を丁寧に説明する。保険は保険業法の意向把握に沿って、既契約を確認したうえで提案する。</w:t>
            </w:r>
          </w:p>
        </w:tc>
      </w:tr>
      <w:tr>
        <w:trPr>
          <w:cantSplit/>
        </w:trPr>
        <w:tc>
          <w:tcPr>
            <w:tcW w:type="dxa" w:w="2041"/>
            <w:shd w:val="clear" w:color="auto" w:fill="F2F2F2"/>
          </w:tcPr>
          <w:p>
            <w:r/>
            <w:r>
              <w:rPr>
                <w:rFonts w:ascii="Yu Gothic" w:hAnsi="Yu Gothic" w:eastAsia="Yu Gothic"/>
                <w:b/>
                <w:sz w:val="20"/>
              </w:rPr>
              <w:t>行内の実施体制</w:t>
            </w:r>
          </w:p>
        </w:tc>
        <w:tc>
          <w:tcPr>
            <w:tcW w:type="dxa" w:w="7257"/>
          </w:tcPr>
          <w:p>
            <w:r/>
            <w:r>
              <w:rPr>
                <w:rFonts w:ascii="Yu Gothic" w:hAnsi="Yu Gothic" w:eastAsia="Yu Gothic"/>
                <w:b w:val="0"/>
                <w:sz w:val="20"/>
              </w:rPr>
              <w:t>店頭は簡易ヒアリングと相談予約を担当。詳しい提案は取扱資格を有する担当者・保険担当者へ連携し、過度な勧誘を避けるため結果と説明内容を記録する。</w:t>
            </w:r>
          </w:p>
        </w:tc>
      </w:tr>
    </w:tbl>
    <w:p>
      <w:pPr>
        <w:spacing w:after="40"/>
      </w:pPr>
    </w:p>
    <w:p>
      <w:pPr>
        <w:pStyle w:val="Heading1"/>
        <w:spacing w:before="240" w:after="80"/>
      </w:pPr>
      <w:r>
        <w:rPr>
          <w:rFonts w:ascii="Yu Gothic" w:hAnsi="Yu Gothic" w:eastAsia="Yu Gothic"/>
          <w:b/>
          <w:color w:val="1F3864"/>
          <w:sz w:val="25"/>
        </w:rPr>
        <w:t>５．プロモーション</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DM送付</w:t>
            </w:r>
          </w:p>
        </w:tc>
        <w:tc>
          <w:tcPr>
            <w:tcW w:type="dxa" w:w="7257"/>
          </w:tcPr>
          <w:p>
            <w:r/>
            <w:r>
              <w:rPr>
                <w:rFonts w:ascii="Yu Gothic" w:hAnsi="Yu Gothic" w:eastAsia="Yu Gothic"/>
                <w:b w:val="0"/>
                <w:sz w:val="20"/>
              </w:rPr>
              <w:t>退職金・年金の受取口座として当行を利用している顧客へ、相談会の案内を送付。問い合わせ先を明記する。</w:t>
            </w:r>
          </w:p>
        </w:tc>
      </w:tr>
      <w:tr>
        <w:trPr>
          <w:cantSplit/>
        </w:trPr>
        <w:tc>
          <w:tcPr>
            <w:tcW w:type="dxa" w:w="2041"/>
            <w:shd w:val="clear" w:color="auto" w:fill="F2F2F2"/>
          </w:tcPr>
          <w:p>
            <w:r/>
            <w:r>
              <w:rPr>
                <w:rFonts w:ascii="Yu Gothic" w:hAnsi="Yu Gothic" w:eastAsia="Yu Gothic"/>
                <w:b/>
                <w:sz w:val="20"/>
              </w:rPr>
              <w:t>電話案内</w:t>
            </w:r>
          </w:p>
        </w:tc>
        <w:tc>
          <w:tcPr>
            <w:tcW w:type="dxa" w:w="7257"/>
          </w:tcPr>
          <w:p>
            <w:r/>
            <w:r>
              <w:rPr>
                <w:rFonts w:ascii="Yu Gothic" w:hAnsi="Yu Gothic" w:eastAsia="Yu Gothic"/>
                <w:b w:val="0"/>
                <w:sz w:val="20"/>
              </w:rPr>
              <w:t>DM送付後の希望者へ、相談意向を確認して来店予約につなぐ。高齢者への過度な勧誘を避ける。</w:t>
            </w:r>
          </w:p>
        </w:tc>
      </w:tr>
      <w:tr>
        <w:trPr>
          <w:cantSplit/>
        </w:trPr>
        <w:tc>
          <w:tcPr>
            <w:tcW w:type="dxa" w:w="2041"/>
            <w:shd w:val="clear" w:color="auto" w:fill="F2F2F2"/>
          </w:tcPr>
          <w:p>
            <w:r/>
            <w:r>
              <w:rPr>
                <w:rFonts w:ascii="Yu Gothic" w:hAnsi="Yu Gothic" w:eastAsia="Yu Gothic"/>
                <w:b/>
                <w:sz w:val="20"/>
              </w:rPr>
              <w:t>店頭・行内</w:t>
            </w:r>
          </w:p>
        </w:tc>
        <w:tc>
          <w:tcPr>
            <w:tcW w:type="dxa" w:w="7257"/>
          </w:tcPr>
          <w:p>
            <w:r/>
            <w:r>
              <w:rPr>
                <w:rFonts w:ascii="Yu Gothic" w:hAnsi="Yu Gothic" w:eastAsia="Yu Gothic"/>
                <w:b w:val="0"/>
                <w:sz w:val="20"/>
              </w:rPr>
              <w:t>来店時に案内チラシを交付。対象条件・案内トーク・紹介先・実績登録ルールを行内共有し、案内方法を統一する。</w:t>
            </w:r>
          </w:p>
        </w:tc>
      </w:tr>
    </w:tbl>
    <w:p>
      <w:pPr>
        <w:spacing w:after="40"/>
      </w:pPr>
    </w:p>
    <w:p>
      <w:pPr>
        <w:pStyle w:val="Heading1"/>
        <w:spacing w:before="240" w:after="80"/>
      </w:pPr>
      <w:r>
        <w:rPr>
          <w:rFonts w:ascii="Yu Gothic" w:hAnsi="Yu Gothic" w:eastAsia="Yu Gothic"/>
          <w:b/>
          <w:color w:val="1F3864"/>
          <w:sz w:val="25"/>
        </w:rPr>
        <w:t>６．KPI</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主KPI</w:t>
            </w:r>
          </w:p>
        </w:tc>
        <w:tc>
          <w:tcPr>
            <w:tcW w:type="dxa" w:w="7257"/>
          </w:tcPr>
          <w:p>
            <w:r/>
            <w:r>
              <w:rPr>
                <w:rFonts w:ascii="Yu Gothic" w:hAnsi="Yu Gothic" w:eastAsia="Yu Gothic"/>
                <w:b w:val="0"/>
                <w:sz w:val="20"/>
              </w:rPr>
              <w:t>投資信託購入額：6,000万円／保険新規契約：20件（仮置き）</w:t>
            </w:r>
          </w:p>
        </w:tc>
      </w:tr>
      <w:tr>
        <w:trPr>
          <w:cantSplit/>
        </w:trPr>
        <w:tc>
          <w:tcPr>
            <w:tcW w:type="dxa" w:w="2041"/>
            <w:shd w:val="clear" w:color="auto" w:fill="F2F2F2"/>
          </w:tcPr>
          <w:p>
            <w:r/>
            <w:r>
              <w:rPr>
                <w:rFonts w:ascii="Yu Gothic" w:hAnsi="Yu Gothic" w:eastAsia="Yu Gothic"/>
                <w:b/>
                <w:sz w:val="20"/>
              </w:rPr>
              <w:t>活動KPI</w:t>
            </w:r>
          </w:p>
        </w:tc>
        <w:tc>
          <w:tcPr>
            <w:tcW w:type="dxa" w:w="7257"/>
          </w:tcPr>
          <w:p>
            <w:r/>
            <w:r>
              <w:rPr>
                <w:rFonts w:ascii="Yu Gothic" w:hAnsi="Yu Gothic" w:eastAsia="Yu Gothic"/>
                <w:b w:val="0"/>
                <w:sz w:val="20"/>
              </w:rPr>
              <w:t>案内対象：1,500件／相談予約：100件／相談実施：70件／保険担当への紹介：45件（仮置き）</w:t>
            </w:r>
          </w:p>
        </w:tc>
      </w:tr>
      <w:tr>
        <w:trPr>
          <w:cantSplit/>
        </w:trPr>
        <w:tc>
          <w:tcPr>
            <w:tcW w:type="dxa" w:w="2041"/>
            <w:shd w:val="clear" w:color="auto" w:fill="F2F2F2"/>
          </w:tcPr>
          <w:p>
            <w:r/>
            <w:r>
              <w:rPr>
                <w:rFonts w:ascii="Yu Gothic" w:hAnsi="Yu Gothic" w:eastAsia="Yu Gothic"/>
                <w:b/>
                <w:sz w:val="20"/>
              </w:rPr>
              <w:t>管理方法</w:t>
            </w:r>
          </w:p>
        </w:tc>
        <w:tc>
          <w:tcPr>
            <w:tcW w:type="dxa" w:w="7257"/>
          </w:tcPr>
          <w:p>
            <w:r/>
            <w:r>
              <w:rPr>
                <w:rFonts w:ascii="Yu Gothic" w:hAnsi="Yu Gothic" w:eastAsia="Yu Gothic"/>
                <w:b w:val="0"/>
                <w:sz w:val="20"/>
              </w:rPr>
              <w:t>月次で対象数・面談・購入額・契約件数を店舗別に集計。過去実績・対象顧客数・稼働人数で補正する。</w:t>
            </w:r>
          </w:p>
        </w:tc>
      </w:tr>
    </w:tbl>
    <w:p>
      <w:pPr>
        <w:spacing w:after="40"/>
      </w:pPr>
    </w:p>
    <w:p>
      <w:pPr>
        <w:pStyle w:val="Heading1"/>
        <w:spacing w:before="240" w:after="80"/>
      </w:pPr>
      <w:r>
        <w:rPr>
          <w:rFonts w:ascii="Yu Gothic" w:hAnsi="Yu Gothic" w:eastAsia="Yu Gothic"/>
          <w:b/>
          <w:color w:val="1F3864"/>
          <w:sz w:val="25"/>
        </w:rPr>
        <w:t>７．使用システム</w:t>
      </w:r>
    </w:p>
    <w:tbl>
      <w:tblPr>
        <w:tblStyle w:val="TableGrid"/>
        <w:tblW w:type="auto" w:w="0"/>
        <w:jc w:val="center"/>
        <w:tblLayout w:type="fixed"/>
        <w:tblLook w:firstColumn="1" w:firstRow="1" w:lastColumn="0" w:lastRow="0" w:noHBand="0" w:noVBand="1" w:val="04A0"/>
      </w:tblPr>
      <w:tblGrid>
        <w:gridCol w:w="1928"/>
        <w:gridCol w:w="2608"/>
        <w:gridCol w:w="4762"/>
      </w:tblGrid>
      <w:tr>
        <w:trPr>
          <w:cantSplit/>
        </w:trPr>
        <w:tc>
          <w:tcPr>
            <w:tcW w:type="dxa" w:w="1928"/>
            <w:shd w:val="clear" w:color="auto" w:fill="23496B"/>
          </w:tcPr>
          <w:p>
            <w:pPr>
              <w:spacing w:before="80" w:after="80"/>
            </w:pPr>
            <w:r/>
            <w:r>
              <w:rPr>
                <w:rFonts w:ascii="Yu Gothic" w:hAnsi="Yu Gothic" w:eastAsia="Yu Gothic"/>
                <w:b/>
                <w:color w:val="FFFFFF"/>
                <w:sz w:val="20"/>
              </w:rPr>
              <w:t>用途</w:t>
            </w:r>
          </w:p>
        </w:tc>
        <w:tc>
          <w:tcPr>
            <w:tcW w:type="dxa" w:w="2608"/>
            <w:shd w:val="clear" w:color="auto" w:fill="23496B"/>
          </w:tcPr>
          <w:p>
            <w:pPr>
              <w:spacing w:before="80" w:after="80"/>
            </w:pPr>
            <w:r/>
            <w:r>
              <w:rPr>
                <w:rFonts w:ascii="Yu Gothic" w:hAnsi="Yu Gothic" w:eastAsia="Yu Gothic"/>
                <w:b/>
                <w:color w:val="FFFFFF"/>
                <w:sz w:val="20"/>
              </w:rPr>
              <w:t>使用システム</w:t>
            </w:r>
          </w:p>
        </w:tc>
        <w:tc>
          <w:tcPr>
            <w:tcW w:type="dxa" w:w="4762"/>
            <w:shd w:val="clear" w:color="auto" w:fill="23496B"/>
          </w:tcPr>
          <w:p>
            <w:pPr>
              <w:spacing w:before="80" w:after="80"/>
            </w:pPr>
            <w:r/>
            <w:r>
              <w:rPr>
                <w:rFonts w:ascii="Yu Gothic" w:hAnsi="Yu Gothic" w:eastAsia="Yu Gothic"/>
                <w:b/>
                <w:color w:val="FFFFFF"/>
                <w:sz w:val="20"/>
              </w:rPr>
              <w:t>企画で想定する利用方法（参考）</w:t>
            </w:r>
          </w:p>
        </w:tc>
      </w:tr>
      <w:tr>
        <w:trPr>
          <w:cantSplit/>
        </w:trPr>
        <w:tc>
          <w:tcPr>
            <w:tcW w:type="dxa" w:w="1928"/>
            <w:shd w:val="clear" w:color="auto" w:fill="FFFFFF"/>
          </w:tcPr>
          <w:p>
            <w:pPr>
              <w:spacing w:before="80" w:after="80"/>
            </w:pPr>
            <w:r/>
            <w:r>
              <w:rPr>
                <w:rFonts w:ascii="Yu Gothic" w:hAnsi="Yu Gothic" w:eastAsia="Yu Gothic"/>
                <w:b/>
                <w:sz w:val="20"/>
              </w:rPr>
              <w:t>顧客抽出・接点</w:t>
            </w:r>
          </w:p>
        </w:tc>
        <w:tc>
          <w:tcPr>
            <w:tcW w:type="dxa" w:w="2608"/>
            <w:shd w:val="clear" w:color="auto" w:fill="FFFFFF"/>
          </w:tcPr>
          <w:p>
            <w:pPr>
              <w:spacing w:before="80" w:after="80"/>
            </w:pPr>
            <w:r/>
            <w:r>
              <w:rPr>
                <w:rFonts w:ascii="Yu Gothic" w:hAnsi="Yu Gothic" w:eastAsia="Yu Gothic"/>
                <w:b w:val="0"/>
                <w:sz w:val="20"/>
              </w:rPr>
              <w:t>顧客管理システム</w:t>
            </w:r>
          </w:p>
        </w:tc>
        <w:tc>
          <w:tcPr>
            <w:tcW w:type="dxa" w:w="4762"/>
            <w:shd w:val="clear" w:color="auto" w:fill="FFFFFF"/>
          </w:tcPr>
          <w:p>
            <w:pPr>
              <w:spacing w:before="80" w:after="80"/>
            </w:pPr>
            <w:r/>
            <w:r>
              <w:rPr>
                <w:rFonts w:ascii="Yu Gothic" w:hAnsi="Yu Gothic" w:eastAsia="Yu Gothic"/>
                <w:b w:val="0"/>
                <w:sz w:val="20"/>
              </w:rPr>
              <w:t>案内対象の抽出・除外、送付／接触履歴の管理。保持項目・権限は要確認。</w:t>
            </w:r>
          </w:p>
        </w:tc>
      </w:tr>
      <w:tr>
        <w:trPr>
          <w:cantSplit/>
        </w:trPr>
        <w:tc>
          <w:tcPr>
            <w:tcW w:type="dxa" w:w="1928"/>
            <w:shd w:val="clear" w:color="auto" w:fill="EAF0F7"/>
          </w:tcPr>
          <w:p>
            <w:pPr>
              <w:spacing w:before="80" w:after="80"/>
            </w:pPr>
            <w:r/>
            <w:r>
              <w:rPr>
                <w:rFonts w:ascii="Yu Gothic" w:hAnsi="Yu Gothic" w:eastAsia="Yu Gothic"/>
                <w:b/>
                <w:sz w:val="20"/>
              </w:rPr>
              <w:t>投信の受付</w:t>
            </w:r>
          </w:p>
        </w:tc>
        <w:tc>
          <w:tcPr>
            <w:tcW w:type="dxa" w:w="2608"/>
            <w:shd w:val="clear" w:color="auto" w:fill="EAF0F7"/>
          </w:tcPr>
          <w:p>
            <w:pPr>
              <w:spacing w:before="80" w:after="80"/>
            </w:pPr>
            <w:r/>
            <w:r>
              <w:rPr>
                <w:rFonts w:ascii="Yu Gothic" w:hAnsi="Yu Gothic" w:eastAsia="Yu Gothic"/>
                <w:b w:val="0"/>
                <w:sz w:val="20"/>
              </w:rPr>
              <w:t>預り資産販売システム</w:t>
            </w:r>
          </w:p>
        </w:tc>
        <w:tc>
          <w:tcPr>
            <w:tcW w:type="dxa" w:w="4762"/>
            <w:shd w:val="clear" w:color="auto" w:fill="EAF0F7"/>
          </w:tcPr>
          <w:p>
            <w:pPr>
              <w:spacing w:before="80" w:after="80"/>
            </w:pPr>
            <w:r/>
            <w:r>
              <w:rPr>
                <w:rFonts w:ascii="Yu Gothic" w:hAnsi="Yu Gothic" w:eastAsia="Yu Gothic"/>
                <w:b w:val="0"/>
                <w:sz w:val="20"/>
              </w:rPr>
              <w:t>投資信託の購入受付を想定。処理範囲を要確認。</w:t>
            </w:r>
          </w:p>
        </w:tc>
      </w:tr>
      <w:tr>
        <w:trPr>
          <w:cantSplit/>
        </w:trPr>
        <w:tc>
          <w:tcPr>
            <w:tcW w:type="dxa" w:w="1928"/>
            <w:shd w:val="clear" w:color="auto" w:fill="FFFFFF"/>
          </w:tcPr>
          <w:p>
            <w:pPr>
              <w:spacing w:before="80" w:after="80"/>
            </w:pPr>
            <w:r/>
            <w:r>
              <w:rPr>
                <w:rFonts w:ascii="Yu Gothic" w:hAnsi="Yu Gothic" w:eastAsia="Yu Gothic"/>
                <w:b/>
                <w:sz w:val="20"/>
              </w:rPr>
              <w:t>投信の実績確認</w:t>
            </w:r>
          </w:p>
        </w:tc>
        <w:tc>
          <w:tcPr>
            <w:tcW w:type="dxa" w:w="2608"/>
            <w:shd w:val="clear" w:color="auto" w:fill="FFFFFF"/>
          </w:tcPr>
          <w:p>
            <w:pPr>
              <w:spacing w:before="80" w:after="80"/>
            </w:pPr>
            <w:r/>
            <w:r>
              <w:rPr>
                <w:rFonts w:ascii="Yu Gothic" w:hAnsi="Yu Gothic" w:eastAsia="Yu Gothic"/>
                <w:b w:val="0"/>
                <w:sz w:val="20"/>
              </w:rPr>
              <w:t>投資信託管理システム</w:t>
            </w:r>
          </w:p>
        </w:tc>
        <w:tc>
          <w:tcPr>
            <w:tcW w:type="dxa" w:w="4762"/>
            <w:shd w:val="clear" w:color="auto" w:fill="FFFFFF"/>
          </w:tcPr>
          <w:p>
            <w:pPr>
              <w:spacing w:before="80" w:after="80"/>
            </w:pPr>
            <w:r/>
            <w:r>
              <w:rPr>
                <w:rFonts w:ascii="Yu Gothic" w:hAnsi="Yu Gothic" w:eastAsia="Yu Gothic"/>
                <w:b w:val="0"/>
                <w:sz w:val="20"/>
              </w:rPr>
              <w:t>購入額・件数の確認。</w:t>
            </w:r>
          </w:p>
        </w:tc>
      </w:tr>
      <w:tr>
        <w:trPr>
          <w:cantSplit/>
        </w:trPr>
        <w:tc>
          <w:tcPr>
            <w:tcW w:type="dxa" w:w="1928"/>
            <w:shd w:val="clear" w:color="auto" w:fill="EAF0F7"/>
          </w:tcPr>
          <w:p>
            <w:pPr>
              <w:spacing w:before="80" w:after="80"/>
            </w:pPr>
            <w:r/>
            <w:r>
              <w:rPr>
                <w:rFonts w:ascii="Yu Gothic" w:hAnsi="Yu Gothic" w:eastAsia="Yu Gothic"/>
                <w:b/>
                <w:sz w:val="20"/>
              </w:rPr>
              <w:t>保障の試算</w:t>
            </w:r>
          </w:p>
        </w:tc>
        <w:tc>
          <w:tcPr>
            <w:tcW w:type="dxa" w:w="2608"/>
            <w:shd w:val="clear" w:color="auto" w:fill="EAF0F7"/>
          </w:tcPr>
          <w:p>
            <w:pPr>
              <w:spacing w:before="80" w:after="80"/>
            </w:pPr>
            <w:r/>
            <w:r>
              <w:rPr>
                <w:rFonts w:ascii="Yu Gothic" w:hAnsi="Yu Gothic" w:eastAsia="Yu Gothic"/>
                <w:b w:val="0"/>
                <w:sz w:val="20"/>
              </w:rPr>
              <w:t>保険試算システム</w:t>
            </w:r>
          </w:p>
        </w:tc>
        <w:tc>
          <w:tcPr>
            <w:tcW w:type="dxa" w:w="4762"/>
            <w:shd w:val="clear" w:color="auto" w:fill="EAF0F7"/>
          </w:tcPr>
          <w:p>
            <w:pPr>
              <w:spacing w:before="80" w:after="80"/>
            </w:pPr>
            <w:r/>
            <w:r>
              <w:rPr>
                <w:rFonts w:ascii="Yu Gothic" w:hAnsi="Yu Gothic" w:eastAsia="Yu Gothic"/>
                <w:b w:val="0"/>
                <w:sz w:val="20"/>
              </w:rPr>
              <w:t>顧客の状況に応じた保障額の試算。利用範囲を要確認。</w:t>
            </w:r>
          </w:p>
        </w:tc>
      </w:tr>
      <w:tr>
        <w:trPr>
          <w:cantSplit/>
        </w:trPr>
        <w:tc>
          <w:tcPr>
            <w:tcW w:type="dxa" w:w="1928"/>
            <w:shd w:val="clear" w:color="auto" w:fill="FFFFFF"/>
          </w:tcPr>
          <w:p>
            <w:pPr>
              <w:spacing w:before="80" w:after="80"/>
            </w:pPr>
            <w:r/>
            <w:r>
              <w:rPr>
                <w:rFonts w:ascii="Yu Gothic" w:hAnsi="Yu Gothic" w:eastAsia="Yu Gothic"/>
                <w:b/>
                <w:sz w:val="20"/>
              </w:rPr>
              <w:t>既契約・成果確認</w:t>
            </w:r>
          </w:p>
        </w:tc>
        <w:tc>
          <w:tcPr>
            <w:tcW w:type="dxa" w:w="2608"/>
            <w:shd w:val="clear" w:color="auto" w:fill="FFFFFF"/>
          </w:tcPr>
          <w:p>
            <w:pPr>
              <w:spacing w:before="80" w:after="80"/>
            </w:pPr>
            <w:r/>
            <w:r>
              <w:rPr>
                <w:rFonts w:ascii="Yu Gothic" w:hAnsi="Yu Gothic" w:eastAsia="Yu Gothic"/>
                <w:b w:val="0"/>
                <w:sz w:val="20"/>
              </w:rPr>
              <w:t>保険契約管理システム</w:t>
            </w:r>
          </w:p>
        </w:tc>
        <w:tc>
          <w:tcPr>
            <w:tcW w:type="dxa" w:w="4762"/>
            <w:shd w:val="clear" w:color="auto" w:fill="FFFFFF"/>
          </w:tcPr>
          <w:p>
            <w:pPr>
              <w:spacing w:before="80" w:after="80"/>
            </w:pPr>
            <w:r/>
            <w:r>
              <w:rPr>
                <w:rFonts w:ascii="Yu Gothic" w:hAnsi="Yu Gothic" w:eastAsia="Yu Gothic"/>
                <w:b w:val="0"/>
                <w:sz w:val="20"/>
              </w:rPr>
              <w:t>当行で把握可能な保険契約情報の照会、新規契約実績の確認。</w:t>
            </w:r>
          </w:p>
        </w:tc>
      </w:tr>
      <w:tr>
        <w:trPr>
          <w:cantSplit/>
        </w:trPr>
        <w:tc>
          <w:tcPr>
            <w:tcW w:type="dxa" w:w="1928"/>
            <w:shd w:val="clear" w:color="auto" w:fill="EAF0F7"/>
          </w:tcPr>
          <w:p>
            <w:pPr>
              <w:spacing w:before="80" w:after="80"/>
            </w:pPr>
            <w:r/>
            <w:r>
              <w:rPr>
                <w:rFonts w:ascii="Yu Gothic" w:hAnsi="Yu Gothic" w:eastAsia="Yu Gothic"/>
                <w:b/>
                <w:sz w:val="20"/>
              </w:rPr>
              <w:t>保険申込受付</w:t>
            </w:r>
          </w:p>
        </w:tc>
        <w:tc>
          <w:tcPr>
            <w:tcW w:type="dxa" w:w="2608"/>
            <w:shd w:val="clear" w:color="auto" w:fill="EAF0F7"/>
          </w:tcPr>
          <w:p>
            <w:pPr>
              <w:spacing w:before="80" w:after="80"/>
            </w:pPr>
            <w:r/>
            <w:r>
              <w:rPr>
                <w:rFonts w:ascii="Yu Gothic" w:hAnsi="Yu Gothic" w:eastAsia="Yu Gothic"/>
                <w:b w:val="0"/>
                <w:sz w:val="20"/>
              </w:rPr>
              <w:t>保険受付システム</w:t>
            </w:r>
          </w:p>
        </w:tc>
        <w:tc>
          <w:tcPr>
            <w:tcW w:type="dxa" w:w="4762"/>
            <w:shd w:val="clear" w:color="auto" w:fill="EAF0F7"/>
          </w:tcPr>
          <w:p>
            <w:pPr>
              <w:spacing w:before="80" w:after="80"/>
            </w:pPr>
            <w:r/>
            <w:r>
              <w:rPr>
                <w:rFonts w:ascii="Yu Gothic" w:hAnsi="Yu Gothic" w:eastAsia="Yu Gothic"/>
                <w:b w:val="0"/>
                <w:sz w:val="20"/>
              </w:rPr>
              <w:t>顧客意向に応じた保険申込の受付を想定。処理範囲を要確認。</w:t>
            </w:r>
          </w:p>
        </w:tc>
      </w:tr>
      <w:tr>
        <w:trPr>
          <w:cantSplit/>
        </w:trPr>
        <w:tc>
          <w:tcPr>
            <w:tcW w:type="dxa" w:w="1928"/>
            <w:shd w:val="clear" w:color="auto" w:fill="FFFFFF"/>
          </w:tcPr>
          <w:p>
            <w:pPr>
              <w:spacing w:before="80" w:after="80"/>
            </w:pPr>
            <w:r/>
            <w:r>
              <w:rPr>
                <w:rFonts w:ascii="Yu Gothic" w:hAnsi="Yu Gothic" w:eastAsia="Yu Gothic"/>
                <w:b/>
                <w:sz w:val="20"/>
              </w:rPr>
              <w:t>電話案内</w:t>
            </w:r>
          </w:p>
        </w:tc>
        <w:tc>
          <w:tcPr>
            <w:tcW w:type="dxa" w:w="2608"/>
            <w:shd w:val="clear" w:color="auto" w:fill="FFFFFF"/>
          </w:tcPr>
          <w:p>
            <w:pPr>
              <w:spacing w:before="80" w:after="80"/>
            </w:pPr>
            <w:r/>
            <w:r>
              <w:rPr>
                <w:rFonts w:ascii="Yu Gothic" w:hAnsi="Yu Gothic" w:eastAsia="Yu Gothic"/>
                <w:b w:val="0"/>
                <w:sz w:val="20"/>
              </w:rPr>
              <w:t>コールシステム</w:t>
            </w:r>
          </w:p>
        </w:tc>
        <w:tc>
          <w:tcPr>
            <w:tcW w:type="dxa" w:w="4762"/>
            <w:shd w:val="clear" w:color="auto" w:fill="FFFFFF"/>
          </w:tcPr>
          <w:p>
            <w:pPr>
              <w:spacing w:before="80" w:after="80"/>
            </w:pPr>
            <w:r/>
            <w:r>
              <w:rPr>
                <w:rFonts w:ascii="Yu Gothic" w:hAnsi="Yu Gothic" w:eastAsia="Yu Gothic"/>
                <w:b w:val="0"/>
                <w:sz w:val="20"/>
              </w:rPr>
              <w:t>DM送付後の希望者への架電と、架電履歴の管理。利用可否を要確認。</w:t>
            </w:r>
          </w:p>
        </w:tc>
      </w:tr>
    </w:tbl>
    <w:p>
      <w:pPr>
        <w:spacing w:after="40"/>
      </w:pPr>
    </w:p>
    <w:p>
      <w:pPr>
        <w:spacing w:after="160"/>
        <w:jc w:val="right"/>
      </w:pPr>
      <w:r>
        <w:rPr>
          <w:rFonts w:ascii="Yu Gothic" w:hAnsi="Yu Gothic" w:eastAsia="Yu Gothic"/>
          <w:b w:val="0"/>
          <w:sz w:val="21"/>
        </w:rPr>
        <w:t>以上</w:t>
      </w:r>
    </w:p>
    <w:p>
      <w:pPr>
        <w:spacing w:after="80"/>
        <w:jc w:val="center"/>
      </w:pPr>
      <w:r>
        <w:rPr>
          <w:rFonts w:ascii="Yu Gothic" w:hAnsi="Yu Gothic" w:eastAsia="Yu Gothic"/>
          <w:b w:val="0"/>
          <w:color w:val="7F7F7F"/>
          <w:sz w:val="18"/>
        </w:rPr>
        <w:t>社内検討用｜本企画・数値・利用システムは仮置き</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