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Yu Gothic" w:hAnsi="Yu Gothic" w:eastAsia="Yu Gothic"/>
          <w:b w:val="0"/>
          <w:sz w:val="20"/>
        </w:rPr>
        <w:t>2026年10月12日　営業企画部</w:t>
      </w:r>
    </w:p>
    <w:p>
      <w:pPr>
        <w:spacing w:after="200"/>
        <w:jc w:val="center"/>
      </w:pPr>
      <w:r>
        <w:rPr>
          <w:rFonts w:ascii="Yu Gothic" w:hAnsi="Yu Gothic" w:eastAsia="Yu Gothic"/>
          <w:b/>
          <w:color w:val="1F3864"/>
          <w:sz w:val="32"/>
        </w:rPr>
        <w:t>子育て世代の教育資金・保障見直しキャンペーンの実施について</w:t>
      </w:r>
    </w:p>
    <w:p>
      <w:pPr>
        <w:pStyle w:val="Heading1"/>
        <w:spacing w:before="240" w:after="80"/>
      </w:pPr>
      <w:r>
        <w:rPr>
          <w:rFonts w:ascii="Yu Gothic" w:hAnsi="Yu Gothic" w:eastAsia="Yu Gothic"/>
          <w:b/>
          <w:color w:val="1F3864"/>
          <w:sz w:val="25"/>
        </w:rPr>
        <w:t>１．企画概要</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対象商品</w:t>
            </w:r>
          </w:p>
        </w:tc>
        <w:tc>
          <w:tcPr>
            <w:tcW w:type="dxa" w:w="7257"/>
          </w:tcPr>
          <w:p>
            <w:r/>
            <w:r>
              <w:rPr>
                <w:rFonts w:ascii="Yu Gothic" w:hAnsi="Yu Gothic" w:eastAsia="Yu Gothic"/>
                <w:b w:val="0"/>
                <w:sz w:val="20"/>
              </w:rPr>
              <w:t>円定期預金／平準払保険（学資・医療）</w:t>
            </w:r>
          </w:p>
        </w:tc>
      </w:tr>
      <w:tr>
        <w:trPr>
          <w:cantSplit/>
        </w:trPr>
        <w:tc>
          <w:tcPr>
            <w:tcW w:type="dxa" w:w="2041"/>
            <w:shd w:val="clear" w:color="auto" w:fill="F2F2F2"/>
          </w:tcPr>
          <w:p>
            <w:r/>
            <w:r>
              <w:rPr>
                <w:rFonts w:ascii="Yu Gothic" w:hAnsi="Yu Gothic" w:eastAsia="Yu Gothic"/>
                <w:b/>
                <w:sz w:val="20"/>
              </w:rPr>
              <w:t>ターゲット層</w:t>
            </w:r>
          </w:p>
        </w:tc>
        <w:tc>
          <w:tcPr>
            <w:tcW w:type="dxa" w:w="7257"/>
          </w:tcPr>
          <w:p>
            <w:r/>
            <w:r>
              <w:rPr>
                <w:rFonts w:ascii="Yu Gothic" w:hAnsi="Yu Gothic" w:eastAsia="Yu Gothic"/>
                <w:b w:val="0"/>
                <w:sz w:val="20"/>
              </w:rPr>
              <w:t>現役層</w:t>
            </w:r>
          </w:p>
        </w:tc>
      </w:tr>
      <w:tr>
        <w:trPr>
          <w:cantSplit/>
        </w:trPr>
        <w:tc>
          <w:tcPr>
            <w:tcW w:type="dxa" w:w="2041"/>
            <w:shd w:val="clear" w:color="auto" w:fill="F2F2F2"/>
          </w:tcPr>
          <w:p>
            <w:r/>
            <w:r>
              <w:rPr>
                <w:rFonts w:ascii="Yu Gothic" w:hAnsi="Yu Gothic" w:eastAsia="Yu Gothic"/>
                <w:b/>
                <w:sz w:val="20"/>
              </w:rPr>
              <w:t>実施期間</w:t>
            </w:r>
          </w:p>
        </w:tc>
        <w:tc>
          <w:tcPr>
            <w:tcW w:type="dxa" w:w="7257"/>
          </w:tcPr>
          <w:p>
            <w:r/>
            <w:r>
              <w:rPr>
                <w:rFonts w:ascii="Yu Gothic" w:hAnsi="Yu Gothic" w:eastAsia="Yu Gothic"/>
                <w:b w:val="0"/>
                <w:sz w:val="20"/>
              </w:rPr>
              <w:t>2027年4月1日～2027年6月30日</w:t>
            </w:r>
          </w:p>
        </w:tc>
      </w:tr>
    </w:tbl>
    <w:p>
      <w:pPr>
        <w:spacing w:after="40"/>
      </w:pPr>
    </w:p>
    <w:p>
      <w:pPr>
        <w:pStyle w:val="Heading1"/>
        <w:spacing w:before="240" w:after="80"/>
      </w:pPr>
      <w:r>
        <w:rPr>
          <w:rFonts w:ascii="Yu Gothic" w:hAnsi="Yu Gothic" w:eastAsia="Yu Gothic"/>
          <w:b/>
          <w:color w:val="1F3864"/>
          <w:sz w:val="25"/>
        </w:rPr>
        <w:t>２．実施の背景</w:t>
      </w:r>
    </w:p>
    <w:p>
      <w:pPr>
        <w:spacing w:after="20"/>
      </w:pPr>
      <w:r>
        <w:rPr>
          <w:rFonts w:ascii="Yu Gothic" w:hAnsi="Yu Gothic" w:eastAsia="Yu Gothic"/>
          <w:b/>
          <w:sz w:val="21"/>
        </w:rPr>
        <w:t>① 進学・入学を機に具体化する教育資金の準備</w:t>
      </w:r>
    </w:p>
    <w:p>
      <w:pPr>
        <w:spacing w:after="120"/>
      </w:pPr>
      <w:r>
        <w:rPr>
          <w:rFonts w:ascii="Yu Gothic" w:hAnsi="Yu Gothic" w:eastAsia="Yu Gothic"/>
          <w:b w:val="0"/>
          <w:sz w:val="21"/>
        </w:rPr>
        <w:t>子どもの進学・入学の時期は、必要となる教育資金の時期と金額が具体的になり、いつまでにいくら準備するかを考え直す機会になる。</w:t>
      </w:r>
    </w:p>
    <w:p>
      <w:pPr>
        <w:spacing w:after="20"/>
      </w:pPr>
      <w:r>
        <w:rPr>
          <w:rFonts w:ascii="Yu Gothic" w:hAnsi="Yu Gothic" w:eastAsia="Yu Gothic"/>
          <w:b/>
          <w:sz w:val="21"/>
        </w:rPr>
        <w:t>② 家計負担の増加に伴う保障の過不足の確認</w:t>
      </w:r>
    </w:p>
    <w:p>
      <w:pPr>
        <w:spacing w:after="120"/>
      </w:pPr>
      <w:r>
        <w:rPr>
          <w:rFonts w:ascii="Yu Gothic" w:hAnsi="Yu Gothic" w:eastAsia="Yu Gothic"/>
          <w:b w:val="0"/>
          <w:sz w:val="21"/>
        </w:rPr>
        <w:t>教育費や住居費の負担が増える時期は、万が一の場合の保障が足りているか、反対に保険料が過大になっていないかを確認しやすい。</w:t>
      </w:r>
    </w:p>
    <w:p>
      <w:pPr>
        <w:pStyle w:val="Heading1"/>
        <w:spacing w:before="240" w:after="80"/>
      </w:pPr>
      <w:r>
        <w:rPr>
          <w:rFonts w:ascii="Yu Gothic" w:hAnsi="Yu Gothic" w:eastAsia="Yu Gothic"/>
          <w:b/>
          <w:color w:val="1F3864"/>
          <w:sz w:val="25"/>
        </w:rPr>
        <w:t>３．目的</w:t>
      </w:r>
    </w:p>
    <w:p>
      <w:pPr>
        <w:spacing w:after="80"/>
      </w:pPr>
      <w:r>
        <w:rPr>
          <w:rFonts w:ascii="Yu Gothic" w:hAnsi="Yu Gothic" w:eastAsia="Yu Gothic"/>
          <w:b w:val="0"/>
          <w:sz w:val="21"/>
        </w:rPr>
        <w:t>子育て世代が、教育資金の準備と万が一の場合の保障を一緒に相談できる機会を創出し、①円定期預金の新規預入、②既契約を踏まえた保障の確認と新規契約、③継続的な顧客接点の強化を図る。</w:t>
      </w:r>
    </w:p>
    <w:p>
      <w:pPr>
        <w:pStyle w:val="Heading1"/>
        <w:spacing w:before="240" w:after="80"/>
      </w:pPr>
      <w:r>
        <w:rPr>
          <w:rFonts w:ascii="Yu Gothic" w:hAnsi="Yu Gothic" w:eastAsia="Yu Gothic"/>
          <w:b/>
          <w:color w:val="1F3864"/>
          <w:sz w:val="25"/>
        </w:rPr>
        <w:t>４．実施内容・行内運営</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面談の基本設計</w:t>
            </w:r>
          </w:p>
        </w:tc>
        <w:tc>
          <w:tcPr>
            <w:tcW w:type="dxa" w:w="7257"/>
          </w:tcPr>
          <w:p>
            <w:r/>
            <w:r>
              <w:rPr>
                <w:rFonts w:ascii="Yu Gothic" w:hAnsi="Yu Gothic" w:eastAsia="Yu Gothic"/>
                <w:b w:val="0"/>
                <w:sz w:val="20"/>
              </w:rPr>
              <w:t>子どもの人数・年齢、教育資金の必要時期と金額、現在の保険の加入状況を確認し、「預金で準備する分」と「保障で備える分」を整理する。</w:t>
            </w:r>
          </w:p>
        </w:tc>
      </w:tr>
      <w:tr>
        <w:trPr>
          <w:cantSplit/>
        </w:trPr>
        <w:tc>
          <w:tcPr>
            <w:tcW w:type="dxa" w:w="2041"/>
            <w:shd w:val="clear" w:color="auto" w:fill="F2F2F2"/>
          </w:tcPr>
          <w:p>
            <w:r/>
            <w:r>
              <w:rPr>
                <w:rFonts w:ascii="Yu Gothic" w:hAnsi="Yu Gothic" w:eastAsia="Yu Gothic"/>
                <w:b/>
                <w:sz w:val="20"/>
              </w:rPr>
              <w:t>提案手段</w:t>
            </w:r>
          </w:p>
        </w:tc>
        <w:tc>
          <w:tcPr>
            <w:tcW w:type="dxa" w:w="7257"/>
          </w:tcPr>
          <w:p>
            <w:r/>
            <w:r>
              <w:rPr>
                <w:rFonts w:ascii="Yu Gothic" w:hAnsi="Yu Gothic" w:eastAsia="Yu Gothic"/>
                <w:b w:val="0"/>
                <w:sz w:val="20"/>
              </w:rPr>
              <w:t>保険は保険業法の意向把握に沿って、既契約の内容を確認したうえで、顧客の意向に応じた保障を提案する。預金の預け入れを保険相談の条件にしない。</w:t>
            </w:r>
          </w:p>
        </w:tc>
      </w:tr>
      <w:tr>
        <w:trPr>
          <w:cantSplit/>
        </w:trPr>
        <w:tc>
          <w:tcPr>
            <w:tcW w:type="dxa" w:w="2041"/>
            <w:shd w:val="clear" w:color="auto" w:fill="F2F2F2"/>
          </w:tcPr>
          <w:p>
            <w:r/>
            <w:r>
              <w:rPr>
                <w:rFonts w:ascii="Yu Gothic" w:hAnsi="Yu Gothic" w:eastAsia="Yu Gothic"/>
                <w:b/>
                <w:sz w:val="20"/>
              </w:rPr>
              <w:t>行内の実施体制</w:t>
            </w:r>
          </w:p>
        </w:tc>
        <w:tc>
          <w:tcPr>
            <w:tcW w:type="dxa" w:w="7257"/>
          </w:tcPr>
          <w:p>
            <w:r/>
            <w:r>
              <w:rPr>
                <w:rFonts w:ascii="Yu Gothic" w:hAnsi="Yu Gothic" w:eastAsia="Yu Gothic"/>
                <w:b w:val="0"/>
                <w:sz w:val="20"/>
              </w:rPr>
              <w:t>店頭は簡易ヒアリングと相談予約を担当。保障の相談は保険担当者へ紹介し、紹介結果を記録する。</w:t>
            </w:r>
          </w:p>
        </w:tc>
      </w:tr>
    </w:tbl>
    <w:p>
      <w:pPr>
        <w:spacing w:after="40"/>
      </w:pPr>
    </w:p>
    <w:p>
      <w:pPr>
        <w:pStyle w:val="Heading1"/>
        <w:spacing w:before="240" w:after="80"/>
      </w:pPr>
      <w:r>
        <w:rPr>
          <w:rFonts w:ascii="Yu Gothic" w:hAnsi="Yu Gothic" w:eastAsia="Yu Gothic"/>
          <w:b/>
          <w:color w:val="1F3864"/>
          <w:sz w:val="25"/>
        </w:rPr>
        <w:t>５．プロモーション</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アプリ通知</w:t>
            </w:r>
          </w:p>
        </w:tc>
        <w:tc>
          <w:tcPr>
            <w:tcW w:type="dxa" w:w="7257"/>
          </w:tcPr>
          <w:p>
            <w:r/>
            <w:r>
              <w:rPr>
                <w:rFonts w:ascii="Yu Gothic" w:hAnsi="Yu Gothic" w:eastAsia="Yu Gothic"/>
                <w:b w:val="0"/>
                <w:sz w:val="20"/>
              </w:rPr>
              <w:t>配信同意済みの対象者へ、入学準備時期（3月下旬）に「教育資金・保障の相談」予約導線をPush配信。個人情報保護法に基づく同意の範囲内で行う。</w:t>
            </w:r>
          </w:p>
        </w:tc>
      </w:tr>
      <w:tr>
        <w:trPr>
          <w:cantSplit/>
        </w:trPr>
        <w:tc>
          <w:tcPr>
            <w:tcW w:type="dxa" w:w="2041"/>
            <w:shd w:val="clear" w:color="auto" w:fill="F2F2F2"/>
          </w:tcPr>
          <w:p>
            <w:r/>
            <w:r>
              <w:rPr>
                <w:rFonts w:ascii="Yu Gothic" w:hAnsi="Yu Gothic" w:eastAsia="Yu Gothic"/>
                <w:b/>
                <w:sz w:val="20"/>
              </w:rPr>
              <w:t>DM送付</w:t>
            </w:r>
          </w:p>
        </w:tc>
        <w:tc>
          <w:tcPr>
            <w:tcW w:type="dxa" w:w="7257"/>
          </w:tcPr>
          <w:p>
            <w:r/>
            <w:r>
              <w:rPr>
                <w:rFonts w:ascii="Yu Gothic" w:hAnsi="Yu Gothic" w:eastAsia="Yu Gothic"/>
                <w:b w:val="0"/>
                <w:sz w:val="20"/>
              </w:rPr>
              <w:t>子どもの進学時期が近い顧客へ、教育資金の準備と保障確認の相談を案内。問い合わせ先を明記する。</w:t>
            </w:r>
          </w:p>
        </w:tc>
      </w:tr>
      <w:tr>
        <w:trPr>
          <w:cantSplit/>
        </w:trPr>
        <w:tc>
          <w:tcPr>
            <w:tcW w:type="dxa" w:w="2041"/>
            <w:shd w:val="clear" w:color="auto" w:fill="F2F2F2"/>
          </w:tcPr>
          <w:p>
            <w:r/>
            <w:r>
              <w:rPr>
                <w:rFonts w:ascii="Yu Gothic" w:hAnsi="Yu Gothic" w:eastAsia="Yu Gothic"/>
                <w:b/>
                <w:sz w:val="20"/>
              </w:rPr>
              <w:t>店頭・Web</w:t>
            </w:r>
          </w:p>
        </w:tc>
        <w:tc>
          <w:tcPr>
            <w:tcW w:type="dxa" w:w="7257"/>
          </w:tcPr>
          <w:p>
            <w:r/>
            <w:r>
              <w:rPr>
                <w:rFonts w:ascii="Yu Gothic" w:hAnsi="Yu Gothic" w:eastAsia="Yu Gothic"/>
                <w:b w:val="0"/>
                <w:sz w:val="20"/>
              </w:rPr>
              <w:t>来店者へ案内カードを配布し、ホームページに教育資金の準備の考え方を掲載。説明資料・FAQを行内共有する。</w:t>
            </w:r>
          </w:p>
        </w:tc>
      </w:tr>
    </w:tbl>
    <w:p>
      <w:pPr>
        <w:spacing w:after="40"/>
      </w:pPr>
    </w:p>
    <w:p>
      <w:pPr>
        <w:pStyle w:val="Heading1"/>
        <w:spacing w:before="240" w:after="80"/>
      </w:pPr>
      <w:r>
        <w:rPr>
          <w:rFonts w:ascii="Yu Gothic" w:hAnsi="Yu Gothic" w:eastAsia="Yu Gothic"/>
          <w:b/>
          <w:color w:val="1F3864"/>
          <w:sz w:val="25"/>
        </w:rPr>
        <w:t>６．KPI</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主KPI</w:t>
            </w:r>
          </w:p>
        </w:tc>
        <w:tc>
          <w:tcPr>
            <w:tcW w:type="dxa" w:w="7257"/>
          </w:tcPr>
          <w:p>
            <w:r/>
            <w:r>
              <w:rPr>
                <w:rFonts w:ascii="Yu Gothic" w:hAnsi="Yu Gothic" w:eastAsia="Yu Gothic"/>
                <w:b w:val="0"/>
                <w:sz w:val="20"/>
              </w:rPr>
              <w:t>円定期預金の新規預入額：2.0億円／保険新規契約：30件（仮置き）</w:t>
            </w:r>
          </w:p>
        </w:tc>
      </w:tr>
      <w:tr>
        <w:trPr>
          <w:cantSplit/>
        </w:trPr>
        <w:tc>
          <w:tcPr>
            <w:tcW w:type="dxa" w:w="2041"/>
            <w:shd w:val="clear" w:color="auto" w:fill="F2F2F2"/>
          </w:tcPr>
          <w:p>
            <w:r/>
            <w:r>
              <w:rPr>
                <w:rFonts w:ascii="Yu Gothic" w:hAnsi="Yu Gothic" w:eastAsia="Yu Gothic"/>
                <w:b/>
                <w:sz w:val="20"/>
              </w:rPr>
              <w:t>活動KPI</w:t>
            </w:r>
          </w:p>
        </w:tc>
        <w:tc>
          <w:tcPr>
            <w:tcW w:type="dxa" w:w="7257"/>
          </w:tcPr>
          <w:p>
            <w:r/>
            <w:r>
              <w:rPr>
                <w:rFonts w:ascii="Yu Gothic" w:hAnsi="Yu Gothic" w:eastAsia="Yu Gothic"/>
                <w:b w:val="0"/>
                <w:sz w:val="20"/>
              </w:rPr>
              <w:t>案内対象：2,000件／相談予約：150件／相談実施：110件／保険担当への紹介：70件（仮置き）</w:t>
            </w:r>
          </w:p>
        </w:tc>
      </w:tr>
      <w:tr>
        <w:trPr>
          <w:cantSplit/>
        </w:trPr>
        <w:tc>
          <w:tcPr>
            <w:tcW w:type="dxa" w:w="2041"/>
            <w:shd w:val="clear" w:color="auto" w:fill="F2F2F2"/>
          </w:tcPr>
          <w:p>
            <w:r/>
            <w:r>
              <w:rPr>
                <w:rFonts w:ascii="Yu Gothic" w:hAnsi="Yu Gothic" w:eastAsia="Yu Gothic"/>
                <w:b/>
                <w:sz w:val="20"/>
              </w:rPr>
              <w:t>管理方法</w:t>
            </w:r>
          </w:p>
        </w:tc>
        <w:tc>
          <w:tcPr>
            <w:tcW w:type="dxa" w:w="7257"/>
          </w:tcPr>
          <w:p>
            <w:r/>
            <w:r>
              <w:rPr>
                <w:rFonts w:ascii="Yu Gothic" w:hAnsi="Yu Gothic" w:eastAsia="Yu Gothic"/>
                <w:b w:val="0"/>
                <w:sz w:val="20"/>
              </w:rPr>
              <w:t>月次で対象数・面談・預入額・契約件数をチャネル別に集計。過去の紹介・成約実績で補正する。</w:t>
            </w:r>
          </w:p>
        </w:tc>
      </w:tr>
    </w:tbl>
    <w:p>
      <w:pPr>
        <w:spacing w:after="40"/>
      </w:pPr>
    </w:p>
    <w:p>
      <w:pPr>
        <w:pStyle w:val="Heading1"/>
        <w:spacing w:before="240" w:after="80"/>
      </w:pPr>
      <w:r>
        <w:rPr>
          <w:rFonts w:ascii="Yu Gothic" w:hAnsi="Yu Gothic" w:eastAsia="Yu Gothic"/>
          <w:b/>
          <w:color w:val="1F3864"/>
          <w:sz w:val="25"/>
        </w:rPr>
        <w:t>７．使用システム</w:t>
      </w:r>
    </w:p>
    <w:tbl>
      <w:tblPr>
        <w:tblStyle w:val="TableGrid"/>
        <w:tblW w:type="auto" w:w="0"/>
        <w:jc w:val="center"/>
        <w:tblLayout w:type="fixed"/>
        <w:tblLook w:firstColumn="1" w:firstRow="1" w:lastColumn="0" w:lastRow="0" w:noHBand="0" w:noVBand="1" w:val="04A0"/>
      </w:tblPr>
      <w:tblGrid>
        <w:gridCol w:w="1928"/>
        <w:gridCol w:w="2608"/>
        <w:gridCol w:w="4762"/>
      </w:tblGrid>
      <w:tr>
        <w:trPr>
          <w:cantSplit/>
        </w:trPr>
        <w:tc>
          <w:tcPr>
            <w:tcW w:type="dxa" w:w="1928"/>
            <w:shd w:val="clear" w:color="auto" w:fill="23496B"/>
          </w:tcPr>
          <w:p>
            <w:pPr>
              <w:spacing w:before="80" w:after="80"/>
            </w:pPr>
            <w:r/>
            <w:r>
              <w:rPr>
                <w:rFonts w:ascii="Yu Gothic" w:hAnsi="Yu Gothic" w:eastAsia="Yu Gothic"/>
                <w:b/>
                <w:color w:val="FFFFFF"/>
                <w:sz w:val="20"/>
              </w:rPr>
              <w:t>用途</w:t>
            </w:r>
          </w:p>
        </w:tc>
        <w:tc>
          <w:tcPr>
            <w:tcW w:type="dxa" w:w="2608"/>
            <w:shd w:val="clear" w:color="auto" w:fill="23496B"/>
          </w:tcPr>
          <w:p>
            <w:pPr>
              <w:spacing w:before="80" w:after="80"/>
            </w:pPr>
            <w:r/>
            <w:r>
              <w:rPr>
                <w:rFonts w:ascii="Yu Gothic" w:hAnsi="Yu Gothic" w:eastAsia="Yu Gothic"/>
                <w:b/>
                <w:color w:val="FFFFFF"/>
                <w:sz w:val="20"/>
              </w:rPr>
              <w:t>使用システム</w:t>
            </w:r>
          </w:p>
        </w:tc>
        <w:tc>
          <w:tcPr>
            <w:tcW w:type="dxa" w:w="4762"/>
            <w:shd w:val="clear" w:color="auto" w:fill="23496B"/>
          </w:tcPr>
          <w:p>
            <w:pPr>
              <w:spacing w:before="80" w:after="80"/>
            </w:pPr>
            <w:r/>
            <w:r>
              <w:rPr>
                <w:rFonts w:ascii="Yu Gothic" w:hAnsi="Yu Gothic" w:eastAsia="Yu Gothic"/>
                <w:b/>
                <w:color w:val="FFFFFF"/>
                <w:sz w:val="20"/>
              </w:rPr>
              <w:t>企画で想定する利用方法（参考）</w:t>
            </w:r>
          </w:p>
        </w:tc>
      </w:tr>
      <w:tr>
        <w:trPr>
          <w:cantSplit/>
        </w:trPr>
        <w:tc>
          <w:tcPr>
            <w:tcW w:type="dxa" w:w="1928"/>
            <w:shd w:val="clear" w:color="auto" w:fill="FFFFFF"/>
          </w:tcPr>
          <w:p>
            <w:pPr>
              <w:spacing w:before="80" w:after="80"/>
            </w:pPr>
            <w:r/>
            <w:r>
              <w:rPr>
                <w:rFonts w:ascii="Yu Gothic" w:hAnsi="Yu Gothic" w:eastAsia="Yu Gothic"/>
                <w:b/>
                <w:sz w:val="20"/>
              </w:rPr>
              <w:t>顧客抽出・接点</w:t>
            </w:r>
          </w:p>
        </w:tc>
        <w:tc>
          <w:tcPr>
            <w:tcW w:type="dxa" w:w="2608"/>
            <w:shd w:val="clear" w:color="auto" w:fill="FFFFFF"/>
          </w:tcPr>
          <w:p>
            <w:pPr>
              <w:spacing w:before="80" w:after="80"/>
            </w:pPr>
            <w:r/>
            <w:r>
              <w:rPr>
                <w:rFonts w:ascii="Yu Gothic" w:hAnsi="Yu Gothic" w:eastAsia="Yu Gothic"/>
                <w:b w:val="0"/>
                <w:sz w:val="20"/>
              </w:rPr>
              <w:t>顧客管理システム</w:t>
            </w:r>
          </w:p>
        </w:tc>
        <w:tc>
          <w:tcPr>
            <w:tcW w:type="dxa" w:w="4762"/>
            <w:shd w:val="clear" w:color="auto" w:fill="FFFFFF"/>
          </w:tcPr>
          <w:p>
            <w:pPr>
              <w:spacing w:before="80" w:after="80"/>
            </w:pPr>
            <w:r/>
            <w:r>
              <w:rPr>
                <w:rFonts w:ascii="Yu Gothic" w:hAnsi="Yu Gothic" w:eastAsia="Yu Gothic"/>
                <w:b w:val="0"/>
                <w:sz w:val="20"/>
              </w:rPr>
              <w:t>案内対象の抽出（子どもの年齢などの保持項目は要確認）、接触履歴の管理。</w:t>
            </w:r>
          </w:p>
        </w:tc>
      </w:tr>
      <w:tr>
        <w:trPr>
          <w:cantSplit/>
        </w:trPr>
        <w:tc>
          <w:tcPr>
            <w:tcW w:type="dxa" w:w="1928"/>
            <w:shd w:val="clear" w:color="auto" w:fill="EAF0F7"/>
          </w:tcPr>
          <w:p>
            <w:pPr>
              <w:spacing w:before="80" w:after="80"/>
            </w:pPr>
            <w:r/>
            <w:r>
              <w:rPr>
                <w:rFonts w:ascii="Yu Gothic" w:hAnsi="Yu Gothic" w:eastAsia="Yu Gothic"/>
                <w:b/>
                <w:sz w:val="20"/>
              </w:rPr>
              <w:t>預入実績の確認</w:t>
            </w:r>
          </w:p>
        </w:tc>
        <w:tc>
          <w:tcPr>
            <w:tcW w:type="dxa" w:w="2608"/>
            <w:shd w:val="clear" w:color="auto" w:fill="EAF0F7"/>
          </w:tcPr>
          <w:p>
            <w:pPr>
              <w:spacing w:before="80" w:after="80"/>
            </w:pPr>
            <w:r/>
            <w:r>
              <w:rPr>
                <w:rFonts w:ascii="Yu Gothic" w:hAnsi="Yu Gothic" w:eastAsia="Yu Gothic"/>
                <w:b w:val="0"/>
                <w:sz w:val="20"/>
              </w:rPr>
              <w:t>勘定系システム</w:t>
            </w:r>
          </w:p>
        </w:tc>
        <w:tc>
          <w:tcPr>
            <w:tcW w:type="dxa" w:w="4762"/>
            <w:shd w:val="clear" w:color="auto" w:fill="EAF0F7"/>
          </w:tcPr>
          <w:p>
            <w:pPr>
              <w:spacing w:before="80" w:after="80"/>
            </w:pPr>
            <w:r/>
            <w:r>
              <w:rPr>
                <w:rFonts w:ascii="Yu Gothic" w:hAnsi="Yu Gothic" w:eastAsia="Yu Gothic"/>
                <w:b w:val="0"/>
                <w:sz w:val="20"/>
              </w:rPr>
              <w:t>円定期預金の新規預入額の確認。データ連携可否を要確認。</w:t>
            </w:r>
          </w:p>
        </w:tc>
      </w:tr>
      <w:tr>
        <w:trPr>
          <w:cantSplit/>
        </w:trPr>
        <w:tc>
          <w:tcPr>
            <w:tcW w:type="dxa" w:w="1928"/>
            <w:shd w:val="clear" w:color="auto" w:fill="FFFFFF"/>
          </w:tcPr>
          <w:p>
            <w:pPr>
              <w:spacing w:before="80" w:after="80"/>
            </w:pPr>
            <w:r/>
            <w:r>
              <w:rPr>
                <w:rFonts w:ascii="Yu Gothic" w:hAnsi="Yu Gothic" w:eastAsia="Yu Gothic"/>
                <w:b/>
                <w:sz w:val="20"/>
              </w:rPr>
              <w:t>アプリ通知</w:t>
            </w:r>
          </w:p>
        </w:tc>
        <w:tc>
          <w:tcPr>
            <w:tcW w:type="dxa" w:w="2608"/>
            <w:shd w:val="clear" w:color="auto" w:fill="FFFFFF"/>
          </w:tcPr>
          <w:p>
            <w:pPr>
              <w:spacing w:before="80" w:after="80"/>
            </w:pPr>
            <w:r/>
            <w:r>
              <w:rPr>
                <w:rFonts w:ascii="Yu Gothic" w:hAnsi="Yu Gothic" w:eastAsia="Yu Gothic"/>
                <w:b w:val="0"/>
                <w:sz w:val="20"/>
              </w:rPr>
              <w:t>顧客向けアプリ</w:t>
            </w:r>
          </w:p>
        </w:tc>
        <w:tc>
          <w:tcPr>
            <w:tcW w:type="dxa" w:w="4762"/>
            <w:shd w:val="clear" w:color="auto" w:fill="FFFFFF"/>
          </w:tcPr>
          <w:p>
            <w:pPr>
              <w:spacing w:before="80" w:after="80"/>
            </w:pPr>
            <w:r/>
            <w:r>
              <w:rPr>
                <w:rFonts w:ascii="Yu Gothic" w:hAnsi="Yu Gothic" w:eastAsia="Yu Gothic"/>
                <w:b w:val="0"/>
                <w:sz w:val="20"/>
              </w:rPr>
              <w:t>Push通知の配信を想定。配信機能、対象抽出、配信同意を要確認。</w:t>
            </w:r>
          </w:p>
        </w:tc>
      </w:tr>
      <w:tr>
        <w:trPr>
          <w:cantSplit/>
        </w:trPr>
        <w:tc>
          <w:tcPr>
            <w:tcW w:type="dxa" w:w="1928"/>
            <w:shd w:val="clear" w:color="auto" w:fill="EAF0F7"/>
          </w:tcPr>
          <w:p>
            <w:pPr>
              <w:spacing w:before="80" w:after="80"/>
            </w:pPr>
            <w:r/>
            <w:r>
              <w:rPr>
                <w:rFonts w:ascii="Yu Gothic" w:hAnsi="Yu Gothic" w:eastAsia="Yu Gothic"/>
                <w:b/>
                <w:sz w:val="20"/>
              </w:rPr>
              <w:t>保障の試算</w:t>
            </w:r>
          </w:p>
        </w:tc>
        <w:tc>
          <w:tcPr>
            <w:tcW w:type="dxa" w:w="2608"/>
            <w:shd w:val="clear" w:color="auto" w:fill="EAF0F7"/>
          </w:tcPr>
          <w:p>
            <w:pPr>
              <w:spacing w:before="80" w:after="80"/>
            </w:pPr>
            <w:r/>
            <w:r>
              <w:rPr>
                <w:rFonts w:ascii="Yu Gothic" w:hAnsi="Yu Gothic" w:eastAsia="Yu Gothic"/>
                <w:b w:val="0"/>
                <w:sz w:val="20"/>
              </w:rPr>
              <w:t>保険試算システム</w:t>
            </w:r>
          </w:p>
        </w:tc>
        <w:tc>
          <w:tcPr>
            <w:tcW w:type="dxa" w:w="4762"/>
            <w:shd w:val="clear" w:color="auto" w:fill="EAF0F7"/>
          </w:tcPr>
          <w:p>
            <w:pPr>
              <w:spacing w:before="80" w:after="80"/>
            </w:pPr>
            <w:r/>
            <w:r>
              <w:rPr>
                <w:rFonts w:ascii="Yu Gothic" w:hAnsi="Yu Gothic" w:eastAsia="Yu Gothic"/>
                <w:b w:val="0"/>
                <w:sz w:val="20"/>
              </w:rPr>
              <w:t>教育資金と合わせた保障額の試算。利用範囲を要確認。</w:t>
            </w:r>
          </w:p>
        </w:tc>
      </w:tr>
      <w:tr>
        <w:trPr>
          <w:cantSplit/>
        </w:trPr>
        <w:tc>
          <w:tcPr>
            <w:tcW w:type="dxa" w:w="1928"/>
            <w:shd w:val="clear" w:color="auto" w:fill="FFFFFF"/>
          </w:tcPr>
          <w:p>
            <w:pPr>
              <w:spacing w:before="80" w:after="80"/>
            </w:pPr>
            <w:r/>
            <w:r>
              <w:rPr>
                <w:rFonts w:ascii="Yu Gothic" w:hAnsi="Yu Gothic" w:eastAsia="Yu Gothic"/>
                <w:b/>
                <w:sz w:val="20"/>
              </w:rPr>
              <w:t>既契約・成果確認</w:t>
            </w:r>
          </w:p>
        </w:tc>
        <w:tc>
          <w:tcPr>
            <w:tcW w:type="dxa" w:w="2608"/>
            <w:shd w:val="clear" w:color="auto" w:fill="FFFFFF"/>
          </w:tcPr>
          <w:p>
            <w:pPr>
              <w:spacing w:before="80" w:after="80"/>
            </w:pPr>
            <w:r/>
            <w:r>
              <w:rPr>
                <w:rFonts w:ascii="Yu Gothic" w:hAnsi="Yu Gothic" w:eastAsia="Yu Gothic"/>
                <w:b w:val="0"/>
                <w:sz w:val="20"/>
              </w:rPr>
              <w:t>保険契約管理システム</w:t>
            </w:r>
          </w:p>
        </w:tc>
        <w:tc>
          <w:tcPr>
            <w:tcW w:type="dxa" w:w="4762"/>
            <w:shd w:val="clear" w:color="auto" w:fill="FFFFFF"/>
          </w:tcPr>
          <w:p>
            <w:pPr>
              <w:spacing w:before="80" w:after="80"/>
            </w:pPr>
            <w:r/>
            <w:r>
              <w:rPr>
                <w:rFonts w:ascii="Yu Gothic" w:hAnsi="Yu Gothic" w:eastAsia="Yu Gothic"/>
                <w:b w:val="0"/>
                <w:sz w:val="20"/>
              </w:rPr>
              <w:t>当行で把握可能な保険契約情報の照会、新規契約実績の確認。</w:t>
            </w:r>
          </w:p>
        </w:tc>
      </w:tr>
      <w:tr>
        <w:trPr>
          <w:cantSplit/>
        </w:trPr>
        <w:tc>
          <w:tcPr>
            <w:tcW w:type="dxa" w:w="1928"/>
            <w:shd w:val="clear" w:color="auto" w:fill="EAF0F7"/>
          </w:tcPr>
          <w:p>
            <w:pPr>
              <w:spacing w:before="80" w:after="80"/>
            </w:pPr>
            <w:r/>
            <w:r>
              <w:rPr>
                <w:rFonts w:ascii="Yu Gothic" w:hAnsi="Yu Gothic" w:eastAsia="Yu Gothic"/>
                <w:b/>
                <w:sz w:val="20"/>
              </w:rPr>
              <w:t>保険申込受付</w:t>
            </w:r>
          </w:p>
        </w:tc>
        <w:tc>
          <w:tcPr>
            <w:tcW w:type="dxa" w:w="2608"/>
            <w:shd w:val="clear" w:color="auto" w:fill="EAF0F7"/>
          </w:tcPr>
          <w:p>
            <w:pPr>
              <w:spacing w:before="80" w:after="80"/>
            </w:pPr>
            <w:r/>
            <w:r>
              <w:rPr>
                <w:rFonts w:ascii="Yu Gothic" w:hAnsi="Yu Gothic" w:eastAsia="Yu Gothic"/>
                <w:b w:val="0"/>
                <w:sz w:val="20"/>
              </w:rPr>
              <w:t>保険受付システム</w:t>
            </w:r>
          </w:p>
        </w:tc>
        <w:tc>
          <w:tcPr>
            <w:tcW w:type="dxa" w:w="4762"/>
            <w:shd w:val="clear" w:color="auto" w:fill="EAF0F7"/>
          </w:tcPr>
          <w:p>
            <w:pPr>
              <w:spacing w:before="80" w:after="80"/>
            </w:pPr>
            <w:r/>
            <w:r>
              <w:rPr>
                <w:rFonts w:ascii="Yu Gothic" w:hAnsi="Yu Gothic" w:eastAsia="Yu Gothic"/>
                <w:b w:val="0"/>
                <w:sz w:val="20"/>
              </w:rPr>
              <w:t>顧客意向に応じた保険申込の受付を想定。処理範囲を要確認。</w:t>
            </w:r>
          </w:p>
        </w:tc>
      </w:tr>
    </w:tbl>
    <w:p>
      <w:pPr>
        <w:spacing w:after="40"/>
      </w:pPr>
    </w:p>
    <w:p>
      <w:pPr>
        <w:spacing w:after="160"/>
        <w:jc w:val="right"/>
      </w:pPr>
      <w:r>
        <w:rPr>
          <w:rFonts w:ascii="Yu Gothic" w:hAnsi="Yu Gothic" w:eastAsia="Yu Gothic"/>
          <w:b w:val="0"/>
          <w:sz w:val="21"/>
        </w:rPr>
        <w:t>以上</w:t>
      </w:r>
    </w:p>
    <w:p>
      <w:pPr>
        <w:spacing w:after="80"/>
        <w:jc w:val="center"/>
      </w:pPr>
      <w:r>
        <w:rPr>
          <w:rFonts w:ascii="Yu Gothic" w:hAnsi="Yu Gothic" w:eastAsia="Yu Gothic"/>
          <w:b w:val="0"/>
          <w:color w:val="7F7F7F"/>
          <w:sz w:val="18"/>
        </w:rPr>
        <w:t>社内検討用｜本企画・数値・利用システムは仮置き</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