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2D988">
      <w:pPr>
        <w:jc w:val="center"/>
        <w:rPr>
          <w:rFonts w:ascii="华文中宋" w:hAnsi="华文中宋" w:eastAsia="华文中宋" w:cs="华文中宋"/>
          <w:b/>
          <w:bCs/>
          <w:sz w:val="36"/>
          <w:szCs w:val="36"/>
        </w:rPr>
      </w:pPr>
      <w:r>
        <w:rPr>
          <w:rFonts w:hint="eastAsia" w:ascii="华文中宋" w:hAnsi="华文中宋" w:eastAsia="华文中宋" w:cs="华文中宋"/>
          <w:b/>
          <w:bCs/>
          <w:sz w:val="36"/>
          <w:szCs w:val="36"/>
        </w:rPr>
        <w:t>数字世界规则及标准主导权</w:t>
      </w:r>
    </w:p>
    <w:p w14:paraId="0D6F274F">
      <w:pPr>
        <w:jc w:val="center"/>
        <w:rPr>
          <w:rFonts w:ascii="华文中宋" w:hAnsi="华文中宋" w:eastAsia="华文中宋" w:cs="华文中宋"/>
          <w:sz w:val="28"/>
          <w:szCs w:val="28"/>
        </w:rPr>
      </w:pPr>
      <w:r>
        <w:rPr>
          <w:rFonts w:hint="eastAsia" w:ascii="华文中宋" w:hAnsi="华文中宋" w:eastAsia="华文中宋" w:cs="华文中宋"/>
          <w:sz w:val="28"/>
          <w:szCs w:val="28"/>
        </w:rPr>
        <w:t>数字一带一路论坛发言稿</w:t>
      </w:r>
    </w:p>
    <w:p w14:paraId="5516C078">
      <w:pPr>
        <w:jc w:val="center"/>
        <w:rPr>
          <w:rFonts w:ascii="华文中宋" w:hAnsi="华文中宋" w:eastAsia="华文中宋" w:cs="华文中宋"/>
          <w:sz w:val="24"/>
          <w:szCs w:val="24"/>
        </w:rPr>
      </w:pPr>
      <w:r>
        <w:rPr>
          <w:rFonts w:hint="eastAsia" w:ascii="华文中宋" w:hAnsi="华文中宋" w:eastAsia="华文中宋" w:cs="华文中宋"/>
          <w:sz w:val="24"/>
          <w:szCs w:val="24"/>
        </w:rPr>
        <w:t xml:space="preserve">朱其罡 </w:t>
      </w:r>
      <w:r>
        <w:rPr>
          <w:rFonts w:ascii="华文中宋" w:hAnsi="华文中宋" w:eastAsia="华文中宋" w:cs="华文中宋"/>
          <w:sz w:val="24"/>
          <w:szCs w:val="24"/>
        </w:rPr>
        <w:t>2024/6/28</w:t>
      </w:r>
    </w:p>
    <w:p w14:paraId="76D65B74"/>
    <w:p w14:paraId="765FBEBD">
      <w:pPr>
        <w:rPr>
          <w:sz w:val="24"/>
          <w:szCs w:val="28"/>
        </w:rPr>
      </w:pPr>
      <w:r>
        <w:rPr>
          <w:rFonts w:hint="eastAsia"/>
          <w:sz w:val="24"/>
          <w:szCs w:val="28"/>
        </w:rPr>
        <w:t>尊敬的各位领导、专家和同仁们，</w:t>
      </w:r>
    </w:p>
    <w:p w14:paraId="52254F1F">
      <w:pPr>
        <w:rPr>
          <w:sz w:val="24"/>
          <w:szCs w:val="28"/>
        </w:rPr>
      </w:pPr>
    </w:p>
    <w:p w14:paraId="7C5938D7">
      <w:pPr>
        <w:rPr>
          <w:sz w:val="24"/>
          <w:szCs w:val="28"/>
        </w:rPr>
      </w:pPr>
      <w:r>
        <w:rPr>
          <w:rFonts w:hint="eastAsia"/>
          <w:sz w:val="24"/>
          <w:szCs w:val="28"/>
        </w:rPr>
        <w:t>大家好！今天，我非常荣幸能在这里与大家共同探讨数字一带一路开源发展的前景与挑战。我今天其实是两个身份，一个是上海开源协会的秘书长，一个是对外经贸大学全球开源协作研究中心的副主任。我将围绕全球开源生态的现状、国际竞争格局、产业创新、商业化模式、生态国际化、我国面临的挑战以及具体工作思路和政策建议等方面，以今年4月份向外交部亚洲司及商务部国经司汇报的材料为基础，展开我的汇报。</w:t>
      </w:r>
    </w:p>
    <w:p w14:paraId="05E6957B">
      <w:pPr>
        <w:rPr>
          <w:sz w:val="24"/>
          <w:szCs w:val="28"/>
        </w:rPr>
      </w:pPr>
    </w:p>
    <w:p w14:paraId="22C40668">
      <w:pPr>
        <w:pStyle w:val="28"/>
        <w:numPr>
          <w:ilvl w:val="0"/>
          <w:numId w:val="1"/>
        </w:numPr>
        <w:rPr>
          <w:rFonts w:hint="eastAsia"/>
          <w:sz w:val="24"/>
          <w:szCs w:val="28"/>
        </w:rPr>
      </w:pPr>
      <w:r>
        <w:rPr>
          <w:rFonts w:hint="eastAsia"/>
          <w:sz w:val="24"/>
          <w:szCs w:val="28"/>
        </w:rPr>
        <w:t>数字经济的占比在大幅度的提高，数字经济的贸易规则的亟待介入</w:t>
      </w:r>
    </w:p>
    <w:p w14:paraId="3FA87BDD">
      <w:pPr>
        <w:rPr>
          <w:sz w:val="24"/>
          <w:szCs w:val="28"/>
        </w:rPr>
      </w:pPr>
      <w:r>
        <w:rPr>
          <w:rFonts w:hint="eastAsia"/>
          <w:sz w:val="24"/>
          <w:szCs w:val="28"/>
        </w:rPr>
        <w:t>有几个简单的数字，一个是芯片的进口总进口金额超过传统能源；英伟达的使之达到全球第一；一个是新能源汽车的出口大幅度提升，而每一辆汽车的上面有十多亿行代码，一千多个芯片，一百多种型号的芯片。</w:t>
      </w:r>
    </w:p>
    <w:p w14:paraId="2076B75C">
      <w:pPr>
        <w:rPr>
          <w:rFonts w:hint="eastAsia"/>
          <w:sz w:val="24"/>
          <w:szCs w:val="28"/>
        </w:rPr>
      </w:pPr>
      <w:r>
        <w:rPr>
          <w:rFonts w:hint="eastAsia"/>
          <w:sz w:val="24"/>
          <w:szCs w:val="28"/>
        </w:rPr>
        <w:t>在数字经济里面的知识产权，流通，贸易规则，安全控制都带来全新的概念，需要系统化的进行梳理，提出理论，提出控制和战略布局方法。</w:t>
      </w:r>
    </w:p>
    <w:p w14:paraId="608E193B">
      <w:pPr>
        <w:rPr>
          <w:rFonts w:hint="eastAsia"/>
          <w:sz w:val="24"/>
          <w:szCs w:val="28"/>
        </w:rPr>
      </w:pPr>
      <w:r>
        <w:rPr>
          <w:rFonts w:hint="eastAsia"/>
          <w:sz w:val="24"/>
          <w:szCs w:val="28"/>
        </w:rPr>
        <w:t>目前在WTO的传统的相关规则里面，我们处于被动状态，能够活动的空间不多。而数字经济及绿色经济现在是外交和商务部在对外沟通的主要内容。本月我们在北京处理的亚洲统一支付为例，中国由技术优势，有场景优势，如何推动在东南亚乃至东盟成为主流，动员其他国家加入，乃至动用亚洲基础设施投资银行加入数字基础设施的概念，都在推进中。</w:t>
      </w:r>
    </w:p>
    <w:p w14:paraId="43424642">
      <w:pPr>
        <w:rPr>
          <w:rFonts w:hint="eastAsia"/>
          <w:sz w:val="24"/>
          <w:szCs w:val="28"/>
        </w:rPr>
      </w:pPr>
    </w:p>
    <w:p w14:paraId="186B76CD">
      <w:pPr>
        <w:pStyle w:val="28"/>
        <w:numPr>
          <w:ilvl w:val="0"/>
          <w:numId w:val="1"/>
        </w:numPr>
        <w:rPr>
          <w:sz w:val="24"/>
          <w:szCs w:val="28"/>
        </w:rPr>
      </w:pPr>
      <w:r>
        <w:rPr>
          <w:rFonts w:hint="eastAsia"/>
          <w:sz w:val="24"/>
          <w:szCs w:val="28"/>
        </w:rPr>
        <w:t>数字主权的崛起</w:t>
      </w:r>
    </w:p>
    <w:p w14:paraId="4A339250">
      <w:pPr>
        <w:pStyle w:val="28"/>
        <w:ind w:left="360"/>
        <w:rPr>
          <w:rFonts w:hint="eastAsia"/>
          <w:sz w:val="24"/>
          <w:szCs w:val="28"/>
        </w:rPr>
      </w:pPr>
      <w:r>
        <w:rPr>
          <w:rFonts w:hint="eastAsia"/>
          <w:sz w:val="24"/>
          <w:szCs w:val="28"/>
        </w:rPr>
        <w:t>从目前看，多数国家在数字主权意识的处于早期萌芽和发展阶段。基础软件，通信，安全加密，关键供应链上的技术产品等的风险性已经被越来越多的 国家认可。我们提出来通过中游社区和国际合作进行，帮助其他国家构建以中国开源技术堆栈为基础的第三国技术底座。</w:t>
      </w:r>
    </w:p>
    <w:p w14:paraId="16C0437F">
      <w:pPr>
        <w:rPr>
          <w:rFonts w:hint="eastAsia"/>
          <w:sz w:val="24"/>
          <w:szCs w:val="28"/>
        </w:rPr>
      </w:pPr>
    </w:p>
    <w:p w14:paraId="7A014F72">
      <w:pPr>
        <w:rPr>
          <w:sz w:val="24"/>
          <w:szCs w:val="28"/>
        </w:rPr>
      </w:pPr>
      <w:r>
        <w:rPr>
          <w:rFonts w:hint="eastAsia"/>
          <w:sz w:val="24"/>
          <w:szCs w:val="28"/>
        </w:rPr>
        <w:t>3.开源的国际竞争情况</w:t>
      </w:r>
    </w:p>
    <w:p w14:paraId="135DAF52">
      <w:pPr>
        <w:rPr>
          <w:sz w:val="24"/>
          <w:szCs w:val="28"/>
        </w:rPr>
      </w:pPr>
      <w:r>
        <w:rPr>
          <w:rFonts w:hint="eastAsia"/>
          <w:sz w:val="24"/>
          <w:szCs w:val="28"/>
        </w:rPr>
        <w:t>一般来说，现在同</w:t>
      </w:r>
      <w:r>
        <w:rPr>
          <w:rFonts w:hint="eastAsia"/>
          <w:sz w:val="24"/>
          <w:szCs w:val="28"/>
          <w:lang w:val="en-US" w:eastAsia="zh-CN"/>
        </w:rPr>
        <w:t>时</w:t>
      </w:r>
      <w:bookmarkStart w:id="0" w:name="_GoBack"/>
      <w:bookmarkEnd w:id="0"/>
      <w:r>
        <w:rPr>
          <w:rFonts w:hint="eastAsia"/>
          <w:sz w:val="24"/>
          <w:szCs w:val="28"/>
        </w:rPr>
        <w:t>也认为开源是国际智慧的掠夺手段，是阳谋。首先，让我们来审视一下全球开源生态的发展现状。开源已经成为推动技术创新的重要力量，它不仅是一种技术实践，更是一种文化和理念。在不同领域，开源项目的竞争格局日益激烈，特别是在人工智能、大数据、云计算等前沿技术领域，开源项目的发展和应用已经成为决定未来发展主动权的关键。开源本身有极其明显的马太效应，github，hugging face等平台，开源项目，开源理论等维度西方都已经具备垄断地位。国外开源基金会和托管平台的运作模式相对简单及商业化，历史上西方有一千多个基金会充分竞争，形成了灵活且利于创新的生态。而中国由于相关法律的限制，开源基金会的定义和运作模式与国外并不完全对等。因此，我们应鼓励国内更多的开源组织出现，以促进开源生态的多元化发展。开源世界里面的理论高度，主权的争取既是机会也有风险。中国是全球维一的美国技术体系外的完整技术堆栈，开源领域的技术堆栈正在积极形成中，解决了指令集、操作系统、数据库、安全、通信等基本领域的完整性技术，但是仍然也还有很多不足的领域。但是这些技术领域伴随中国的优势产业出海是不二选择和紧迫任务。</w:t>
      </w:r>
    </w:p>
    <w:p w14:paraId="41E83CD7">
      <w:pPr>
        <w:rPr>
          <w:rFonts w:hint="eastAsia"/>
          <w:sz w:val="24"/>
          <w:szCs w:val="28"/>
        </w:rPr>
      </w:pPr>
      <w:r>
        <w:rPr>
          <w:rFonts w:hint="eastAsia"/>
          <w:sz w:val="24"/>
          <w:szCs w:val="28"/>
        </w:rPr>
        <w:t>4.开源的理论高度和文化水平</w:t>
      </w:r>
    </w:p>
    <w:p w14:paraId="720DCF82">
      <w:pPr>
        <w:rPr>
          <w:sz w:val="24"/>
          <w:szCs w:val="28"/>
        </w:rPr>
      </w:pPr>
      <w:r>
        <w:rPr>
          <w:rFonts w:hint="eastAsia"/>
          <w:sz w:val="24"/>
          <w:szCs w:val="28"/>
        </w:rPr>
        <w:t>在开源生态的国际化方面，开源的竞争体现为理论高度，体现为文化的理解，体现为商业利益的分配机制。这需要我们深刻理解开源文化，提出高层次的开源理论，并提前布局数字经济领域的相关贸易规则。开源的高层次价值在于创新。为了培育开源项目，加速底层技术的原始创新和项目商业化落地，我们需要充分引导政府公共资金和社会资本对早期开源项目进行支持。同时，鼓励开放科学，产生更多的知识开放，特别是将</w:t>
      </w:r>
      <w:r>
        <w:rPr>
          <w:sz w:val="24"/>
          <w:szCs w:val="28"/>
        </w:rPr>
        <w:t>IT创新与具体行业，尤其是中国的优势产业相结合，以实现快速崛起。</w:t>
      </w:r>
    </w:p>
    <w:p w14:paraId="71528F67">
      <w:pPr>
        <w:rPr>
          <w:sz w:val="24"/>
          <w:szCs w:val="28"/>
        </w:rPr>
      </w:pPr>
      <w:r>
        <w:rPr>
          <w:rFonts w:hint="eastAsia"/>
          <w:sz w:val="24"/>
          <w:szCs w:val="28"/>
        </w:rPr>
        <w:t>5.开源开放为特征的中国再全球化路径</w:t>
      </w:r>
    </w:p>
    <w:p w14:paraId="19BDC2B5">
      <w:pPr>
        <w:rPr>
          <w:rFonts w:hint="eastAsia"/>
          <w:sz w:val="24"/>
          <w:szCs w:val="28"/>
        </w:rPr>
      </w:pPr>
      <w:r>
        <w:rPr>
          <w:rFonts w:hint="eastAsia"/>
          <w:sz w:val="24"/>
          <w:szCs w:val="28"/>
        </w:rPr>
        <w:t>纯粹的商品和单一的形态出口粘性不够。以整体生态来做国际贸易在长时间维度上更加有效。而开源开放来跟各国合作，帮助他们推动技术体系构建是中国主导的再全球化的最佳路径。</w:t>
      </w:r>
    </w:p>
    <w:p w14:paraId="65B1B1A5">
      <w:pPr>
        <w:rPr>
          <w:sz w:val="24"/>
          <w:szCs w:val="28"/>
        </w:rPr>
      </w:pPr>
    </w:p>
    <w:p w14:paraId="0642974A">
      <w:pPr>
        <w:rPr>
          <w:rFonts w:hint="eastAsia"/>
          <w:sz w:val="24"/>
          <w:szCs w:val="28"/>
        </w:rPr>
      </w:pPr>
      <w:r>
        <w:rPr>
          <w:rFonts w:hint="eastAsia"/>
          <w:sz w:val="24"/>
          <w:szCs w:val="28"/>
        </w:rPr>
        <w:t>谢谢大家！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6B3D46"/>
    <w:multiLevelType w:val="multilevel"/>
    <w:tmpl w:val="256B3D4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953"/>
    <w:rsid w:val="000E69F1"/>
    <w:rsid w:val="001256C5"/>
    <w:rsid w:val="00181856"/>
    <w:rsid w:val="001A61FE"/>
    <w:rsid w:val="00425953"/>
    <w:rsid w:val="006103A5"/>
    <w:rsid w:val="00644C15"/>
    <w:rsid w:val="007347C2"/>
    <w:rsid w:val="007F0ADC"/>
    <w:rsid w:val="00873CDE"/>
    <w:rsid w:val="009C3FD2"/>
    <w:rsid w:val="009F3582"/>
    <w:rsid w:val="00A00CEB"/>
    <w:rsid w:val="0BF31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szCs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99"/>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1520</Words>
  <Characters>1548</Characters>
  <Lines>11</Lines>
  <Paragraphs>3</Paragraphs>
  <TotalTime>263</TotalTime>
  <ScaleCrop>false</ScaleCrop>
  <LinksUpToDate>false</LinksUpToDate>
  <CharactersWithSpaces>1551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2024-06-28T01:10:00Z</dcterms:created>
  <dc:creator>orix zhu</dc:creator>
  <cp:lastModifiedBy>朱其罡</cp:lastModifiedBy>
  <cp:lastPrinted>2024-06-28T04:38:00Z</cp:lastPrinted>
  <dcterms:modified xsi:type="dcterms:W3CDTF">2025-05-13T11:20:33Z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eyJoZGlkIjoiZTQ4ODQwNThiYTg4YTBlNDhkZDRmNGNiNWM5NWE1YzAiLCJ1c2VySWQiOiI5ODcwODA2NzYifQ==</vt:lpwstr>
  </property>
  <property fmtid="{D5CDD505-2E9C-101B-9397-08002B2CF9AE}" pid="3" name="KSOProductBuildVer">
    <vt:lpwstr>2052-12.1.0.20305</vt:lpwstr>
  </property>
  <property fmtid="{D5CDD505-2E9C-101B-9397-08002B2CF9AE}" pid="4" name="ICV">
    <vt:lpwstr>20B23924623149BABAA7862D49AB8B31_12</vt:lpwstr>
  </property>
</Properties>
</file>