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3B0C3" w14:textId="77777777" w:rsidR="001A0ADF" w:rsidRDefault="001A0ADF" w:rsidP="001A0ADF">
      <w:pPr>
        <w:pStyle w:val="Heading1"/>
        <w:rPr>
          <w:noProof/>
        </w:rPr>
      </w:pPr>
      <w:bookmarkStart w:id="0" w:name="_Toc234180117"/>
      <w:r>
        <w:rPr>
          <w:rFonts w:eastAsia="Times New Roman"/>
          <w:lang w:val="en"/>
        </w:rPr>
        <w:t>Table of Contents</w:t>
      </w:r>
      <w:bookmarkEnd w:id="0"/>
      <w:r>
        <w:rPr>
          <w:rFonts w:eastAsia="Times New Roman"/>
          <w:lang w:val="en"/>
        </w:rPr>
        <w:fldChar w:fldCharType="begin"/>
      </w:r>
      <w:r>
        <w:rPr>
          <w:rFonts w:eastAsia="Times New Roman"/>
          <w:lang w:val="en"/>
        </w:rPr>
        <w:instrText xml:space="preserve"> TOC \o "1-1" </w:instrText>
      </w:r>
      <w:r>
        <w:rPr>
          <w:rFonts w:eastAsia="Times New Roman"/>
          <w:lang w:val="en"/>
        </w:rPr>
        <w:fldChar w:fldCharType="separate"/>
      </w:r>
    </w:p>
    <w:p w14:paraId="0A70FFC3" w14:textId="0441DF6F" w:rsidR="001A0ADF" w:rsidRDefault="001A0ADF">
      <w:pPr>
        <w:pStyle w:val="TOC1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A6244E">
        <w:rPr>
          <w:rFonts w:eastAsia="Times New Roman"/>
          <w:noProof/>
          <w:lang w:val="en"/>
        </w:rPr>
        <w:t>Table of Contents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_Toc234180117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C1083EE" w14:textId="29DDC15F" w:rsidR="001A0ADF" w:rsidRDefault="001A0ADF">
      <w:pPr>
        <w:pStyle w:val="TOC1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A6244E">
        <w:rPr>
          <w:rFonts w:eastAsia="Times New Roman"/>
          <w:noProof/>
          <w:lang w:val="en"/>
        </w:rPr>
        <w:t>Axiacracy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_Toc234180118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10A1FBC2" w14:textId="0B0900D3" w:rsidR="001A0ADF" w:rsidRDefault="001A0ADF">
      <w:pPr>
        <w:pStyle w:val="TOC1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A6244E">
        <w:rPr>
          <w:rFonts w:ascii="Calibri" w:eastAsia="Times New Roman" w:hAnsi="Calibri" w:cs="Calibri"/>
          <w:noProof/>
          <w:lang w:val="en"/>
        </w:rPr>
        <w:t>0. Name &amp; Positioning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_Toc234180119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31440118" w14:textId="5DE1483A" w:rsidR="001A0ADF" w:rsidRDefault="001A0ADF">
      <w:pPr>
        <w:pStyle w:val="TOC1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A6244E">
        <w:rPr>
          <w:rFonts w:ascii="Calibri" w:eastAsia="Times New Roman" w:hAnsi="Calibri" w:cs="Calibri"/>
          <w:noProof/>
          <w:lang w:val="en"/>
        </w:rPr>
        <w:t>1. Premise &amp; Thesis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_Toc234180120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18EAB15D" w14:textId="6745C6C2" w:rsidR="001A0ADF" w:rsidRDefault="001A0ADF">
      <w:pPr>
        <w:pStyle w:val="TOC1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A6244E">
        <w:rPr>
          <w:rFonts w:ascii="Calibri" w:eastAsia="Times New Roman" w:hAnsi="Calibri" w:cs="Calibri"/>
          <w:noProof/>
          <w:lang w:val="en"/>
        </w:rPr>
        <w:t>2. The Governing Stance (the v2 core) — Sensing vs. Coercion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_Toc234180121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EA306BC" w14:textId="09CA33A1" w:rsidR="001A0ADF" w:rsidRDefault="001A0ADF">
      <w:pPr>
        <w:pStyle w:val="TOC1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A6244E">
        <w:rPr>
          <w:rFonts w:ascii="Calibri" w:eastAsia="Times New Roman" w:hAnsi="Calibri" w:cs="Calibri"/>
          <w:noProof/>
          <w:lang w:val="en"/>
        </w:rPr>
        <w:t>3. The Value Substrate (V1–V5)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_Toc234180122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F466537" w14:textId="74A677E1" w:rsidR="001A0ADF" w:rsidRDefault="001A0ADF">
      <w:pPr>
        <w:pStyle w:val="TOC1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A6244E">
        <w:rPr>
          <w:rFonts w:ascii="Calibri" w:eastAsia="Times New Roman" w:hAnsi="Calibri" w:cs="Calibri"/>
          <w:noProof/>
          <w:lang w:val="en"/>
        </w:rPr>
        <w:t>4. The Governing Loop (one tick)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_Toc234180123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AA5BFD4" w14:textId="307192D5" w:rsidR="001A0ADF" w:rsidRDefault="001A0ADF">
      <w:pPr>
        <w:pStyle w:val="TOC1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A6244E">
        <w:rPr>
          <w:rFonts w:ascii="Calibri" w:eastAsia="Times New Roman" w:hAnsi="Calibri" w:cs="Calibri"/>
          <w:noProof/>
          <w:lang w:val="en"/>
        </w:rPr>
        <w:t>5. The Charter &amp; Norm Hierarchy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_Toc234180124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3BD017B" w14:textId="6E645655" w:rsidR="001A0ADF" w:rsidRDefault="001A0ADF">
      <w:pPr>
        <w:pStyle w:val="TOC1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A6244E">
        <w:rPr>
          <w:rFonts w:ascii="Calibri" w:eastAsia="Times New Roman" w:hAnsi="Calibri" w:cs="Calibri"/>
          <w:noProof/>
          <w:lang w:val="en"/>
        </w:rPr>
        <w:t>6. Governance Mechanics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_Toc234180125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4EEA0E1" w14:textId="300AC2F6" w:rsidR="001A0ADF" w:rsidRDefault="001A0ADF">
      <w:pPr>
        <w:pStyle w:val="TOC1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A6244E">
        <w:rPr>
          <w:rFonts w:ascii="Calibri" w:eastAsia="Times New Roman" w:hAnsi="Calibri" w:cs="Calibri"/>
          <w:noProof/>
          <w:lang w:val="en"/>
        </w:rPr>
        <w:t>7. Value, Money &amp; Markets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_Toc234180126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19E9F5E" w14:textId="41D2D444" w:rsidR="001A0ADF" w:rsidRDefault="001A0ADF">
      <w:pPr>
        <w:pStyle w:val="TOC1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A6244E">
        <w:rPr>
          <w:rFonts w:ascii="Calibri" w:eastAsia="Times New Roman" w:hAnsi="Calibri" w:cs="Calibri"/>
          <w:noProof/>
          <w:lang w:val="en"/>
        </w:rPr>
        <w:t>8. Property, Rent &amp; the Commons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_Toc234180127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D54CBDC" w14:textId="600890A8" w:rsidR="001A0ADF" w:rsidRDefault="001A0ADF">
      <w:pPr>
        <w:pStyle w:val="TOC1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A6244E">
        <w:rPr>
          <w:rFonts w:ascii="Calibri" w:eastAsia="Times New Roman" w:hAnsi="Calibri" w:cs="Calibri"/>
          <w:noProof/>
          <w:lang w:val="en"/>
        </w:rPr>
        <w:t>9. Distributive Justice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_Toc234180128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91DBAB8" w14:textId="4860FE5C" w:rsidR="001A0ADF" w:rsidRDefault="001A0ADF">
      <w:pPr>
        <w:pStyle w:val="TOC1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A6244E">
        <w:rPr>
          <w:rFonts w:ascii="Calibri" w:eastAsia="Times New Roman" w:hAnsi="Calibri" w:cs="Calibri"/>
          <w:noProof/>
          <w:lang w:val="en"/>
        </w:rPr>
        <w:t>10. Law, Rights &amp; Crime — the Coercion Ladders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_Toc234180129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491122A" w14:textId="5C4CC25C" w:rsidR="001A0ADF" w:rsidRDefault="001A0ADF">
      <w:pPr>
        <w:pStyle w:val="TOC1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A6244E">
        <w:rPr>
          <w:rFonts w:ascii="Calibri" w:eastAsia="Times New Roman" w:hAnsi="Calibri" w:cs="Calibri"/>
          <w:noProof/>
          <w:lang w:val="en"/>
        </w:rPr>
        <w:t>11. Leadership &amp; Succession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_Toc234180130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3C72AF9F" w14:textId="4C7F61F7" w:rsidR="001A0ADF" w:rsidRDefault="001A0ADF">
      <w:pPr>
        <w:pStyle w:val="TOC1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A6244E">
        <w:rPr>
          <w:rFonts w:ascii="Calibri" w:eastAsia="Times New Roman" w:hAnsi="Calibri" w:cs="Calibri"/>
          <w:noProof/>
          <w:lang w:val="en"/>
        </w:rPr>
        <w:t>12. Anti-Value Taxonomy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_Toc234180131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6C842DA" w14:textId="5BF90CDB" w:rsidR="001A0ADF" w:rsidRDefault="001A0ADF">
      <w:pPr>
        <w:pStyle w:val="TOC1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A6244E">
        <w:rPr>
          <w:rFonts w:ascii="Calibri" w:eastAsia="Times New Roman" w:hAnsi="Calibri" w:cs="Calibri"/>
          <w:noProof/>
          <w:lang w:val="en"/>
        </w:rPr>
        <w:t>13. Implementation / Runtime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_Toc234180132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BB961BD" w14:textId="4ED413AD" w:rsidR="001A0ADF" w:rsidRDefault="001A0ADF">
      <w:pPr>
        <w:pStyle w:val="TOC1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A6244E">
        <w:rPr>
          <w:rFonts w:ascii="Calibri" w:eastAsia="Times New Roman" w:hAnsi="Calibri" w:cs="Calibri"/>
          <w:noProof/>
          <w:lang w:val="en"/>
        </w:rPr>
        <w:t>14. Comparative Positioning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_Toc234180133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31E76082" w14:textId="5F922EEF" w:rsidR="001A0ADF" w:rsidRDefault="001A0ADF">
      <w:pPr>
        <w:pStyle w:val="TOC1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A6244E">
        <w:rPr>
          <w:rFonts w:ascii="Calibri" w:eastAsia="Times New Roman" w:hAnsi="Calibri" w:cs="Calibri"/>
          <w:noProof/>
          <w:lang w:val="en"/>
        </w:rPr>
        <w:t>15. Known Limits &amp; Open Work (honest — for the next review round)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_Toc234180134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46E34B2" w14:textId="7CCC2B6D" w:rsidR="001A0ADF" w:rsidRDefault="001A0ADF">
      <w:pPr>
        <w:pStyle w:val="TOC1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A6244E">
        <w:rPr>
          <w:rFonts w:ascii="Calibri" w:eastAsia="Times New Roman" w:hAnsi="Calibri" w:cs="Calibri"/>
          <w:noProof/>
          <w:lang w:val="en"/>
        </w:rPr>
        <w:t>16. Status &amp; Next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_Toc234180135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61E188A" w14:textId="6AE4A59D" w:rsidR="001A0ADF" w:rsidRDefault="001A0ADF" w:rsidP="001A0ADF">
      <w:pPr>
        <w:pStyle w:val="Heading1"/>
        <w:rPr>
          <w:rFonts w:eastAsia="Times New Roman"/>
          <w:lang w:val="en"/>
        </w:rPr>
      </w:pPr>
      <w:r>
        <w:rPr>
          <w:rFonts w:eastAsia="Times New Roman"/>
          <w:lang w:val="en"/>
        </w:rPr>
        <w:fldChar w:fldCharType="end"/>
      </w:r>
    </w:p>
    <w:p w14:paraId="60B2796F" w14:textId="77777777" w:rsidR="001A0ADF" w:rsidRDefault="001A0ADF">
      <w:pPr>
        <w:rPr>
          <w:rFonts w:eastAsia="Times New Roman"/>
          <w:b/>
          <w:bCs/>
          <w:color w:val="1A3A5A"/>
          <w:kern w:val="36"/>
          <w:sz w:val="38"/>
          <w:szCs w:val="38"/>
          <w:lang w:val="en"/>
        </w:rPr>
      </w:pPr>
      <w:r>
        <w:rPr>
          <w:rFonts w:eastAsia="Times New Roman"/>
          <w:lang w:val="en"/>
        </w:rPr>
        <w:br w:type="page"/>
      </w:r>
    </w:p>
    <w:p w14:paraId="7ED27522" w14:textId="77777777" w:rsidR="001A0ADF" w:rsidRDefault="001A0ADF" w:rsidP="001A0ADF">
      <w:pPr>
        <w:pStyle w:val="Heading1"/>
        <w:rPr>
          <w:rFonts w:eastAsia="Times New Roman"/>
          <w:lang w:val="en"/>
        </w:rPr>
      </w:pPr>
    </w:p>
    <w:p w14:paraId="3926065B" w14:textId="7AE2B3F1" w:rsidR="00370369" w:rsidRDefault="00370369" w:rsidP="001A0ADF">
      <w:pPr>
        <w:pStyle w:val="Heading1"/>
        <w:rPr>
          <w:rFonts w:eastAsia="Times New Roman"/>
          <w:lang w:val="en"/>
        </w:rPr>
      </w:pPr>
      <w:bookmarkStart w:id="1" w:name="_Toc234180118"/>
      <w:r>
        <w:rPr>
          <w:rFonts w:eastAsia="Times New Roman"/>
          <w:lang w:val="en"/>
        </w:rPr>
        <w:t>Axiacracy</w:t>
      </w:r>
      <w:bookmarkEnd w:id="1"/>
    </w:p>
    <w:p w14:paraId="02CE910D" w14:textId="77777777" w:rsidR="00370369" w:rsidRDefault="00370369">
      <w:pPr>
        <w:pStyle w:val="subtitle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Governance by Value — Compendium of the Doctrine (v2)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7028"/>
      </w:tblGrid>
      <w:tr w:rsidR="00000000" w14:paraId="0B744325" w14:textId="77777777">
        <w:tc>
          <w:tcPr>
            <w:tcW w:w="1100" w:type="pct"/>
            <w:tcBorders>
              <w:top w:val="single" w:sz="6" w:space="0" w:color="C8D6E0"/>
              <w:left w:val="single" w:sz="6" w:space="0" w:color="C8D6E0"/>
              <w:bottom w:val="single" w:sz="6" w:space="0" w:color="C8D6E0"/>
              <w:right w:val="single" w:sz="6" w:space="0" w:color="C8D6E0"/>
            </w:tcBorders>
            <w:shd w:val="clear" w:color="auto" w:fill="EEF4F8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99F57D8" w14:textId="77777777" w:rsidR="00370369" w:rsidRDefault="00370369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C8D6E0"/>
              <w:left w:val="single" w:sz="6" w:space="0" w:color="C8D6E0"/>
              <w:bottom w:val="single" w:sz="6" w:space="0" w:color="C8D6E0"/>
              <w:right w:val="single" w:sz="6" w:space="0" w:color="C8D6E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0F9D530" w14:textId="77777777" w:rsidR="00370369" w:rsidRDefault="00370369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Draft v2 — rewritten around the “graduated action” synthesis (after a 3-panel adversarial critique)</w:t>
            </w:r>
          </w:p>
        </w:tc>
      </w:tr>
      <w:tr w:rsidR="00000000" w14:paraId="05A10DD2" w14:textId="77777777">
        <w:tc>
          <w:tcPr>
            <w:tcW w:w="1100" w:type="pct"/>
            <w:tcBorders>
              <w:top w:val="single" w:sz="6" w:space="0" w:color="C8D6E0"/>
              <w:left w:val="single" w:sz="6" w:space="0" w:color="C8D6E0"/>
              <w:bottom w:val="single" w:sz="6" w:space="0" w:color="C8D6E0"/>
              <w:right w:val="single" w:sz="6" w:space="0" w:color="C8D6E0"/>
            </w:tcBorders>
            <w:shd w:val="clear" w:color="auto" w:fill="EEF4F8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6409878" w14:textId="77777777" w:rsidR="00370369" w:rsidRDefault="00370369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Working name</w:t>
            </w:r>
          </w:p>
        </w:tc>
        <w:tc>
          <w:tcPr>
            <w:tcW w:w="0" w:type="auto"/>
            <w:tcBorders>
              <w:top w:val="single" w:sz="6" w:space="0" w:color="C8D6E0"/>
              <w:left w:val="single" w:sz="6" w:space="0" w:color="C8D6E0"/>
              <w:bottom w:val="single" w:sz="6" w:space="0" w:color="C8D6E0"/>
              <w:right w:val="single" w:sz="6" w:space="0" w:color="C8D6E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725F125" w14:textId="77777777" w:rsidR="00370369" w:rsidRDefault="00370369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Axiacracy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(form of government) · </w:t>
            </w: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Axianomy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(the discipline) — provisional, pending </w:t>
            </w:r>
            <w:r>
              <w:rPr>
                <w:rStyle w:val="HTMLCode"/>
                <w:color w:val="1A1A1A"/>
              </w:rPr>
              <w:t>axiacra.cy</w:t>
            </w:r>
          </w:p>
        </w:tc>
      </w:tr>
      <w:tr w:rsidR="00000000" w14:paraId="6268F85B" w14:textId="77777777">
        <w:tc>
          <w:tcPr>
            <w:tcW w:w="1100" w:type="pct"/>
            <w:tcBorders>
              <w:top w:val="single" w:sz="6" w:space="0" w:color="C8D6E0"/>
              <w:left w:val="single" w:sz="6" w:space="0" w:color="C8D6E0"/>
              <w:bottom w:val="single" w:sz="6" w:space="0" w:color="C8D6E0"/>
              <w:right w:val="single" w:sz="6" w:space="0" w:color="C8D6E0"/>
            </w:tcBorders>
            <w:shd w:val="clear" w:color="auto" w:fill="EEF4F8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E9BE66B" w14:textId="77777777" w:rsidR="00370369" w:rsidRDefault="00370369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Author</w:t>
            </w:r>
          </w:p>
        </w:tc>
        <w:tc>
          <w:tcPr>
            <w:tcW w:w="0" w:type="auto"/>
            <w:tcBorders>
              <w:top w:val="single" w:sz="6" w:space="0" w:color="C8D6E0"/>
              <w:left w:val="single" w:sz="6" w:space="0" w:color="C8D6E0"/>
              <w:bottom w:val="single" w:sz="6" w:space="0" w:color="C8D6E0"/>
              <w:right w:val="single" w:sz="6" w:space="0" w:color="C8D6E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DE34208" w14:textId="77777777" w:rsidR="00370369" w:rsidRDefault="00370369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Victor Bolshakov</w:t>
            </w:r>
          </w:p>
        </w:tc>
      </w:tr>
      <w:tr w:rsidR="00000000" w14:paraId="59B06E79" w14:textId="77777777">
        <w:tc>
          <w:tcPr>
            <w:tcW w:w="1100" w:type="pct"/>
            <w:tcBorders>
              <w:top w:val="single" w:sz="6" w:space="0" w:color="C8D6E0"/>
              <w:left w:val="single" w:sz="6" w:space="0" w:color="C8D6E0"/>
              <w:bottom w:val="single" w:sz="6" w:space="0" w:color="C8D6E0"/>
              <w:right w:val="single" w:sz="6" w:space="0" w:color="C8D6E0"/>
            </w:tcBorders>
            <w:shd w:val="clear" w:color="auto" w:fill="EEF4F8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00CB7E3" w14:textId="77777777" w:rsidR="00370369" w:rsidRDefault="00370369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One line</w:t>
            </w:r>
          </w:p>
        </w:tc>
        <w:tc>
          <w:tcPr>
            <w:tcW w:w="0" w:type="auto"/>
            <w:tcBorders>
              <w:top w:val="single" w:sz="6" w:space="0" w:color="C8D6E0"/>
              <w:left w:val="single" w:sz="6" w:space="0" w:color="C8D6E0"/>
              <w:bottom w:val="single" w:sz="6" w:space="0" w:color="C8D6E0"/>
              <w:right w:val="single" w:sz="6" w:space="0" w:color="C8D6E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2F770D5" w14:textId="77777777" w:rsidR="00370369" w:rsidRDefault="00370369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i/>
                <w:iCs/>
                <w:color w:val="1A1A1A"/>
                <w:sz w:val="20"/>
                <w:szCs w:val="20"/>
              </w:rPr>
              <w:t>A state that governs by seeing and balancing multidimensional value flows instead of taxation — money demoted to an instrument, the balance of value the thing it steers toward.</w:t>
            </w:r>
          </w:p>
        </w:tc>
      </w:tr>
    </w:tbl>
    <w:p w14:paraId="608B02A7" w14:textId="77777777" w:rsidR="00370369" w:rsidRDefault="00370369">
      <w:pPr>
        <w:shd w:val="clear" w:color="auto" w:fill="FDF6EC"/>
        <w:divId w:val="421489148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What changed in v2.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 three-panel review (ChatGPT/Grok/Gemini) converged on one root objection: a state cannot compute-and-coerce on total “civilizational value” — it is uncomputable (Hayek), gameable (Goodhart), and, run as one metric across many frames, self-contradictory. v2 resolves this by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separating what the state SENSES from what it may COERCE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and grading coercive power by how well a thing can be measured and how far it crosses between frames. The founding idea — govern by seeing and balancing multidimensional value beyond GDP — is preserved in full at the sensing layer; only coercion is disciplined.</w:t>
      </w:r>
    </w:p>
    <w:p w14:paraId="4FF1B3AF" w14:textId="77777777" w:rsidR="00370369" w:rsidRDefault="00370369">
      <w:pPr>
        <w:pStyle w:val="Heading1"/>
        <w:rPr>
          <w:rFonts w:ascii="Calibri" w:eastAsia="Times New Roman" w:hAnsi="Calibri" w:cs="Calibri"/>
          <w:lang w:val="en"/>
        </w:rPr>
      </w:pPr>
      <w:bookmarkStart w:id="2" w:name="_Toc234180119"/>
      <w:r>
        <w:rPr>
          <w:rFonts w:ascii="Calibri" w:eastAsia="Times New Roman" w:hAnsi="Calibri" w:cs="Calibri"/>
          <w:lang w:val="en"/>
        </w:rPr>
        <w:t>0. Name &amp; Positioning</w:t>
      </w:r>
      <w:bookmarkEnd w:id="2"/>
    </w:p>
    <w:p w14:paraId="06871373" w14:textId="77777777" w:rsidR="00370369" w:rsidRDefault="00370369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Axiacracy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= αξία (</w:t>
      </w:r>
      <w:r>
        <w:rPr>
          <w:rFonts w:ascii="Calibri" w:hAnsi="Calibri" w:cs="Calibri"/>
          <w:i/>
          <w:iCs/>
          <w:color w:val="1A1A1A"/>
          <w:sz w:val="22"/>
          <w:szCs w:val="22"/>
          <w:lang w:val="en"/>
        </w:rPr>
        <w:t>axía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,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value</w:t>
      </w:r>
      <w:r>
        <w:rPr>
          <w:rFonts w:ascii="Calibri" w:hAnsi="Calibri" w:cs="Calibri"/>
          <w:color w:val="1A1A1A"/>
          <w:sz w:val="22"/>
          <w:szCs w:val="22"/>
          <w:lang w:val="en"/>
        </w:rPr>
        <w:t>) + -κρατία (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rule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) =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governance by value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(the multidimensional vector/flows), not by the worthy (that is meritocracy), not by price (market-only “axiocracy”).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Axianomy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= the discipline;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Axiacracy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  <w:lang w:val="en"/>
        </w:rPr>
        <w:t>= the form of government.</w:t>
      </w:r>
    </w:p>
    <w:p w14:paraId="0701D236" w14:textId="77777777" w:rsidR="00370369" w:rsidRDefault="00370369">
      <w:pPr>
        <w:pStyle w:val="Heading1"/>
        <w:rPr>
          <w:rFonts w:ascii="Calibri" w:eastAsia="Times New Roman" w:hAnsi="Calibri" w:cs="Calibri"/>
          <w:lang w:val="en"/>
        </w:rPr>
      </w:pPr>
      <w:bookmarkStart w:id="3" w:name="_Toc234180120"/>
      <w:r>
        <w:rPr>
          <w:rFonts w:ascii="Calibri" w:eastAsia="Times New Roman" w:hAnsi="Calibri" w:cs="Calibri"/>
          <w:lang w:val="en"/>
        </w:rPr>
        <w:t>1. Premise &amp; Thesis</w:t>
      </w:r>
      <w:bookmarkEnd w:id="3"/>
    </w:p>
    <w:p w14:paraId="6BEA1444" w14:textId="77777777" w:rsidR="00370369" w:rsidRDefault="00370369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AI breaks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labour → value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; the tax-and-redistribute loop collapses; value concentrates around AI-infrastructure owners. The state evolves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tax-collector → orchestrator of civilizational value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. Society is a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graph of value transformers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. Two central risks: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concentration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and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loss of meaning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. Governance =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balancing multidimensional value flows</w:t>
      </w:r>
      <w:r>
        <w:rPr>
          <w:rFonts w:ascii="Calibri" w:hAnsi="Calibri" w:cs="Calibri"/>
          <w:color w:val="1A1A1A"/>
          <w:sz w:val="22"/>
          <w:szCs w:val="22"/>
          <w:lang w:val="en"/>
        </w:rPr>
        <w:t>, measured far beyond GDP.</w:t>
      </w:r>
    </w:p>
    <w:p w14:paraId="0E186CD1" w14:textId="77777777" w:rsidR="00370369" w:rsidRDefault="00370369">
      <w:pPr>
        <w:pStyle w:val="Heading1"/>
        <w:rPr>
          <w:rFonts w:ascii="Calibri" w:eastAsia="Times New Roman" w:hAnsi="Calibri" w:cs="Calibri"/>
          <w:lang w:val="en"/>
        </w:rPr>
      </w:pPr>
      <w:bookmarkStart w:id="4" w:name="_Toc234180121"/>
      <w:r>
        <w:rPr>
          <w:rFonts w:ascii="Calibri" w:eastAsia="Times New Roman" w:hAnsi="Calibri" w:cs="Calibri"/>
          <w:lang w:val="en"/>
        </w:rPr>
        <w:lastRenderedPageBreak/>
        <w:t>2. The Governing Stance (the v2 core) — Sensing vs. Coercion</w:t>
      </w:r>
      <w:bookmarkEnd w:id="4"/>
    </w:p>
    <w:p w14:paraId="5A1347FE" w14:textId="77777777" w:rsidR="00370369" w:rsidRDefault="00370369">
      <w:pPr>
        <w:pStyle w:val="Heading2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2.1 Sensing is rich; coercion is bounded</w:t>
      </w:r>
    </w:p>
    <w:p w14:paraId="30BDD2B6" w14:textId="77777777" w:rsidR="00370369" w:rsidRDefault="00370369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Sensing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(seeing multidimensional value — the civilizational dashboard) is </w:t>
      </w:r>
      <w:r>
        <w:rPr>
          <w:rFonts w:ascii="Calibri" w:hAnsi="Calibri" w:cs="Calibri"/>
          <w:i/>
          <w:iCs/>
          <w:color w:val="1A1A1A"/>
          <w:sz w:val="22"/>
          <w:szCs w:val="22"/>
          <w:lang w:val="en"/>
        </w:rPr>
        <w:t>observation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. It is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not tyranny and not an apex metric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— it is the founding revolution: stop being blind to non-GDP value. Sensing is rich across dimensions. (But rich ≠ total surveillance: cohort-aggregate by default, privacy-budgeted, individual granularity only by consent.)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Coercion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(charges, floors enforced, resources compelled, liberty restricted) is where legitimacy, Goodhart and collusion bite, and is strictly bounded.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The founding idea lives in the sensing layer and survives whole; only coercion is disciplined.</w:t>
      </w:r>
    </w:p>
    <w:p w14:paraId="7D49581F" w14:textId="77777777" w:rsidR="00370369" w:rsidRDefault="00370369">
      <w:pPr>
        <w:pStyle w:val="Heading2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2.2 Graduated coercion = f(measurement-confidence × inter-frame scope)</w:t>
      </w:r>
    </w:p>
    <w:p w14:paraId="01C68C76" w14:textId="77777777" w:rsidR="00370369" w:rsidRDefault="00370369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High-confidence · objective · inter-frame harm or material-floor breach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→ coercive action permitted (charge → restriction → loss of liberty, via escalation ladders).</w:t>
      </w:r>
    </w:p>
    <w:p w14:paraId="39072D43" w14:textId="77777777" w:rsidR="00370369" w:rsidRDefault="00370369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Low-confidence · subjective · intra-frame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→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soft power only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: publish the signal, offer incentives, illuminate.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The state may never coerce on a metric it cannot defend.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It may see meaning; it may never compel on it.</w:t>
      </w:r>
    </w:p>
    <w:p w14:paraId="63602521" w14:textId="77777777" w:rsidR="00370369" w:rsidRDefault="00370369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A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constitutional dial tying power to epistemics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— dissolving the measurement-tyranny and apex-metric objections at the source.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Specific thresholds and penalty ladders are set per-polity (implementation); the principle is universal (Charter).</w:t>
      </w:r>
    </w:p>
    <w:p w14:paraId="7A7D3FE5" w14:textId="77777777" w:rsidR="00370369" w:rsidRDefault="00370369">
      <w:pPr>
        <w:pStyle w:val="Heading2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2.3 Measurement is adversarial security, not an oracle</w:t>
      </w:r>
    </w:p>
    <w:p w14:paraId="32093D63" w14:textId="77777777" w:rsidR="00370369" w:rsidRDefault="00370369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No single self-reported signal is trusted. Measurement is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multi-source and cross-checked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: objective side-effects · revealed behaviour (costly, hard-to-fake signals) · 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independent third-party sensors ·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prediction markets on outcomes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(belief-aggregation / futarchy-style) · attestation only as a cross-checked,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staked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input with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collusion-graph anomaly detection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.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Retrospective revaluation is an anti-Goodhart device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(you cannot durably game a metric re-judged with hindsight). Continuously red-teamed. Markets keep doing allocation (Hayek respected); the state only adds signals for what markets miss.</w:t>
      </w:r>
    </w:p>
    <w:p w14:paraId="2784C8EC" w14:textId="77777777" w:rsidR="00370369" w:rsidRDefault="00370369">
      <w:pPr>
        <w:shd w:val="clear" w:color="auto" w:fill="F6F9FB"/>
        <w:divId w:val="384838613"/>
        <w:rPr>
          <w:rFonts w:ascii="Calibri" w:eastAsia="Times New Roman" w:hAnsi="Calibri" w:cs="Calibri"/>
          <w:color w:val="33475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33475A"/>
          <w:sz w:val="22"/>
          <w:szCs w:val="22"/>
          <w:lang w:val="en"/>
        </w:rPr>
        <w:t>The simulation's job (and the game's):</w:t>
      </w:r>
      <w:r>
        <w:rPr>
          <w:rFonts w:ascii="Calibri" w:eastAsia="Times New Roman" w:hAnsi="Calibri" w:cs="Calibri"/>
          <w:color w:val="33475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33475A"/>
          <w:sz w:val="22"/>
          <w:szCs w:val="22"/>
          <w:lang w:val="en"/>
        </w:rPr>
        <w:t xml:space="preserve">map where value-flow governance stays stable vs. gets gamed under noisy, adversarial, contested measurement — </w:t>
      </w:r>
      <w:r>
        <w:rPr>
          <w:rFonts w:ascii="Calibri" w:eastAsia="Times New Roman" w:hAnsi="Calibri" w:cs="Calibri"/>
          <w:b/>
          <w:bCs/>
          <w:color w:val="33475A"/>
          <w:sz w:val="22"/>
          <w:szCs w:val="22"/>
          <w:lang w:val="en"/>
        </w:rPr>
        <w:t>not</w:t>
      </w:r>
      <w:r>
        <w:rPr>
          <w:rFonts w:ascii="Calibri" w:eastAsia="Times New Roman" w:hAnsi="Calibri" w:cs="Calibri"/>
          <w:color w:val="33475A"/>
          <w:sz w:val="22"/>
          <w:szCs w:val="22"/>
          <w:lang w:val="en"/>
        </w:rPr>
        <w:t xml:space="preserve"> assume a truth oracle. Players </w:t>
      </w:r>
      <w:r>
        <w:rPr>
          <w:rFonts w:ascii="Calibri" w:eastAsia="Times New Roman" w:hAnsi="Calibri" w:cs="Calibri"/>
          <w:i/>
          <w:iCs/>
          <w:color w:val="33475A"/>
          <w:sz w:val="22"/>
          <w:szCs w:val="22"/>
          <w:lang w:val="en"/>
        </w:rPr>
        <w:t>are</w:t>
      </w:r>
      <w:r>
        <w:rPr>
          <w:rFonts w:ascii="Calibri" w:eastAsia="Times New Roman" w:hAnsi="Calibri" w:cs="Calibri"/>
          <w:color w:val="33475A"/>
          <w:sz w:val="22"/>
          <w:szCs w:val="22"/>
          <w:lang w:val="en"/>
        </w:rPr>
        <w:t xml:space="preserve"> the adversarial pressure on the sensors.</w:t>
      </w:r>
    </w:p>
    <w:p w14:paraId="2C1CC3ED" w14:textId="77777777" w:rsidR="00370369" w:rsidRDefault="00370369">
      <w:pPr>
        <w:pStyle w:val="Heading1"/>
        <w:rPr>
          <w:rFonts w:ascii="Calibri" w:eastAsia="Times New Roman" w:hAnsi="Calibri" w:cs="Calibri"/>
          <w:lang w:val="en"/>
        </w:rPr>
      </w:pPr>
      <w:bookmarkStart w:id="5" w:name="_Toc234180122"/>
      <w:r>
        <w:rPr>
          <w:rFonts w:ascii="Calibri" w:eastAsia="Times New Roman" w:hAnsi="Calibri" w:cs="Calibri"/>
          <w:lang w:val="en"/>
        </w:rPr>
        <w:t>3. The Value Substrate (V1–V5)</w:t>
      </w:r>
      <w:bookmarkEnd w:id="5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0"/>
        <w:gridCol w:w="2146"/>
        <w:gridCol w:w="6364"/>
      </w:tblGrid>
      <w:tr w:rsidR="00000000" w14:paraId="37E48B8D" w14:textId="77777777">
        <w:tc>
          <w:tcPr>
            <w:tcW w:w="0" w:type="auto"/>
            <w:tcBorders>
              <w:top w:val="single" w:sz="6" w:space="0" w:color="9DBDD0"/>
              <w:left w:val="single" w:sz="6" w:space="0" w:color="9DBDD0"/>
              <w:bottom w:val="single" w:sz="6" w:space="0" w:color="9DBDD0"/>
              <w:right w:val="single" w:sz="6" w:space="0" w:color="9DBDD0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6952BCB" w14:textId="77777777" w:rsidR="00370369" w:rsidRDefault="00370369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top w:val="single" w:sz="6" w:space="0" w:color="9DBDD0"/>
              <w:left w:val="single" w:sz="6" w:space="0" w:color="9DBDD0"/>
              <w:bottom w:val="single" w:sz="6" w:space="0" w:color="9DBDD0"/>
              <w:right w:val="single" w:sz="6" w:space="0" w:color="9DBDD0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3BDFCA4" w14:textId="77777777" w:rsidR="00370369" w:rsidRDefault="00370369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Meta-model</w:t>
            </w:r>
          </w:p>
        </w:tc>
        <w:tc>
          <w:tcPr>
            <w:tcW w:w="0" w:type="auto"/>
            <w:tcBorders>
              <w:top w:val="single" w:sz="6" w:space="0" w:color="9DBDD0"/>
              <w:left w:val="single" w:sz="6" w:space="0" w:color="9DBDD0"/>
              <w:bottom w:val="single" w:sz="6" w:space="0" w:color="9DBDD0"/>
              <w:right w:val="single" w:sz="6" w:space="0" w:color="9DBDD0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A91D6A7" w14:textId="77777777" w:rsidR="00370369" w:rsidRDefault="00370369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Essence</w:t>
            </w:r>
          </w:p>
        </w:tc>
      </w:tr>
      <w:tr w:rsidR="00000000" w14:paraId="720B2C79" w14:textId="77777777">
        <w:tc>
          <w:tcPr>
            <w:tcW w:w="0" w:type="auto"/>
            <w:tcBorders>
              <w:top w:val="single" w:sz="6" w:space="0" w:color="C8D6E0"/>
              <w:left w:val="single" w:sz="6" w:space="0" w:color="C8D6E0"/>
              <w:bottom w:val="single" w:sz="6" w:space="0" w:color="C8D6E0"/>
              <w:right w:val="single" w:sz="6" w:space="0" w:color="C8D6E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5CA739E" w14:textId="77777777" w:rsidR="00370369" w:rsidRDefault="00370369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V1</w:t>
            </w:r>
          </w:p>
        </w:tc>
        <w:tc>
          <w:tcPr>
            <w:tcW w:w="0" w:type="auto"/>
            <w:tcBorders>
              <w:top w:val="single" w:sz="6" w:space="0" w:color="C8D6E0"/>
              <w:left w:val="single" w:sz="6" w:space="0" w:color="C8D6E0"/>
              <w:bottom w:val="single" w:sz="6" w:space="0" w:color="C8D6E0"/>
              <w:right w:val="single" w:sz="6" w:space="0" w:color="C8D6E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2C2549B" w14:textId="77777777" w:rsidR="00370369" w:rsidRDefault="00370369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Value Transformer</w:t>
            </w:r>
          </w:p>
        </w:tc>
        <w:tc>
          <w:tcPr>
            <w:tcW w:w="0" w:type="auto"/>
            <w:tcBorders>
              <w:top w:val="single" w:sz="6" w:space="0" w:color="C8D6E0"/>
              <w:left w:val="single" w:sz="6" w:space="0" w:color="C8D6E0"/>
              <w:bottom w:val="single" w:sz="6" w:space="0" w:color="C8D6E0"/>
              <w:right w:val="single" w:sz="6" w:space="0" w:color="C8D6E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434A0D8" w14:textId="77777777" w:rsidR="00370369" w:rsidRDefault="00370369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any entity consuming/transforming/creating value or anti-value</w:t>
            </w:r>
          </w:p>
        </w:tc>
      </w:tr>
      <w:tr w:rsidR="00000000" w14:paraId="2E397339" w14:textId="77777777">
        <w:tc>
          <w:tcPr>
            <w:tcW w:w="0" w:type="auto"/>
            <w:tcBorders>
              <w:top w:val="single" w:sz="6" w:space="0" w:color="C8D6E0"/>
              <w:left w:val="single" w:sz="6" w:space="0" w:color="C8D6E0"/>
              <w:bottom w:val="single" w:sz="6" w:space="0" w:color="C8D6E0"/>
              <w:right w:val="single" w:sz="6" w:space="0" w:color="C8D6E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1B60C07" w14:textId="77777777" w:rsidR="00370369" w:rsidRDefault="00370369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lastRenderedPageBreak/>
              <w:t>V2</w:t>
            </w:r>
          </w:p>
        </w:tc>
        <w:tc>
          <w:tcPr>
            <w:tcW w:w="0" w:type="auto"/>
            <w:tcBorders>
              <w:top w:val="single" w:sz="6" w:space="0" w:color="C8D6E0"/>
              <w:left w:val="single" w:sz="6" w:space="0" w:color="C8D6E0"/>
              <w:bottom w:val="single" w:sz="6" w:space="0" w:color="C8D6E0"/>
              <w:right w:val="single" w:sz="6" w:space="0" w:color="C8D6E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FF83BF1" w14:textId="77777777" w:rsidR="00370369" w:rsidRDefault="00370369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Multidimensional Value (Æ-vector)</w:t>
            </w:r>
          </w:p>
        </w:tc>
        <w:tc>
          <w:tcPr>
            <w:tcW w:w="0" w:type="auto"/>
            <w:tcBorders>
              <w:top w:val="single" w:sz="6" w:space="0" w:color="C8D6E0"/>
              <w:left w:val="single" w:sz="6" w:space="0" w:color="C8D6E0"/>
              <w:bottom w:val="single" w:sz="6" w:space="0" w:color="C8D6E0"/>
              <w:right w:val="single" w:sz="6" w:space="0" w:color="C8D6E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1204665" w14:textId="77777777" w:rsidR="00370369" w:rsidRDefault="00370369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a 10-axis </w:t>
            </w: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sensing vocabulary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; the </w:t>
            </w: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state frame's own weighted lens (one frame among many), not a universal truth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; per-cohort/region corridors (floor/band/ceiling)</w:t>
            </w:r>
          </w:p>
        </w:tc>
      </w:tr>
      <w:tr w:rsidR="00000000" w14:paraId="4CF57667" w14:textId="77777777">
        <w:tc>
          <w:tcPr>
            <w:tcW w:w="0" w:type="auto"/>
            <w:tcBorders>
              <w:top w:val="single" w:sz="6" w:space="0" w:color="C8D6E0"/>
              <w:left w:val="single" w:sz="6" w:space="0" w:color="C8D6E0"/>
              <w:bottom w:val="single" w:sz="6" w:space="0" w:color="C8D6E0"/>
              <w:right w:val="single" w:sz="6" w:space="0" w:color="C8D6E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D062613" w14:textId="77777777" w:rsidR="00370369" w:rsidRDefault="00370369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V3</w:t>
            </w:r>
          </w:p>
        </w:tc>
        <w:tc>
          <w:tcPr>
            <w:tcW w:w="0" w:type="auto"/>
            <w:tcBorders>
              <w:top w:val="single" w:sz="6" w:space="0" w:color="C8D6E0"/>
              <w:left w:val="single" w:sz="6" w:space="0" w:color="C8D6E0"/>
              <w:bottom w:val="single" w:sz="6" w:space="0" w:color="C8D6E0"/>
              <w:right w:val="single" w:sz="6" w:space="0" w:color="C8D6E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FEF94F9" w14:textId="77777777" w:rsidR="00370369" w:rsidRDefault="00370369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Value Flow</w:t>
            </w:r>
          </w:p>
        </w:tc>
        <w:tc>
          <w:tcPr>
            <w:tcW w:w="0" w:type="auto"/>
            <w:tcBorders>
              <w:top w:val="single" w:sz="6" w:space="0" w:color="C8D6E0"/>
              <w:left w:val="single" w:sz="6" w:space="0" w:color="C8D6E0"/>
              <w:bottom w:val="single" w:sz="6" w:space="0" w:color="C8D6E0"/>
              <w:right w:val="single" w:sz="6" w:space="0" w:color="C8D6E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532E7DA" w14:textId="77777777" w:rsidR="00370369" w:rsidRDefault="00370369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lifecycle Planned → Realized → Retrospective; flow resistance; leakage</w:t>
            </w:r>
          </w:p>
        </w:tc>
      </w:tr>
      <w:tr w:rsidR="00000000" w14:paraId="45D5A727" w14:textId="77777777">
        <w:tc>
          <w:tcPr>
            <w:tcW w:w="0" w:type="auto"/>
            <w:tcBorders>
              <w:top w:val="single" w:sz="6" w:space="0" w:color="C8D6E0"/>
              <w:left w:val="single" w:sz="6" w:space="0" w:color="C8D6E0"/>
              <w:bottom w:val="single" w:sz="6" w:space="0" w:color="C8D6E0"/>
              <w:right w:val="single" w:sz="6" w:space="0" w:color="C8D6E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FCC2FF2" w14:textId="77777777" w:rsidR="00370369" w:rsidRDefault="00370369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V4</w:t>
            </w:r>
          </w:p>
        </w:tc>
        <w:tc>
          <w:tcPr>
            <w:tcW w:w="0" w:type="auto"/>
            <w:tcBorders>
              <w:top w:val="single" w:sz="6" w:space="0" w:color="C8D6E0"/>
              <w:left w:val="single" w:sz="6" w:space="0" w:color="C8D6E0"/>
              <w:bottom w:val="single" w:sz="6" w:space="0" w:color="C8D6E0"/>
              <w:right w:val="single" w:sz="6" w:space="0" w:color="C8D6E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75851A5" w14:textId="77777777" w:rsidR="00370369" w:rsidRDefault="00370369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Anti-Value</w:t>
            </w:r>
          </w:p>
        </w:tc>
        <w:tc>
          <w:tcPr>
            <w:tcW w:w="0" w:type="auto"/>
            <w:tcBorders>
              <w:top w:val="single" w:sz="6" w:space="0" w:color="C8D6E0"/>
              <w:left w:val="single" w:sz="6" w:space="0" w:color="C8D6E0"/>
              <w:bottom w:val="single" w:sz="6" w:space="0" w:color="C8D6E0"/>
              <w:right w:val="single" w:sz="6" w:space="0" w:color="C8D6E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2411528" w14:textId="77777777" w:rsidR="00370369" w:rsidRDefault="00370369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independent category; scope (edge/systemic) · lag → enforcement · intent/kind · responsibility share</w:t>
            </w:r>
          </w:p>
        </w:tc>
      </w:tr>
      <w:tr w:rsidR="00000000" w14:paraId="234C451F" w14:textId="77777777">
        <w:tc>
          <w:tcPr>
            <w:tcW w:w="0" w:type="auto"/>
            <w:tcBorders>
              <w:top w:val="single" w:sz="6" w:space="0" w:color="C8D6E0"/>
              <w:left w:val="single" w:sz="6" w:space="0" w:color="C8D6E0"/>
              <w:bottom w:val="single" w:sz="6" w:space="0" w:color="C8D6E0"/>
              <w:right w:val="single" w:sz="6" w:space="0" w:color="C8D6E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07A5451" w14:textId="77777777" w:rsidR="00370369" w:rsidRDefault="00370369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V5</w:t>
            </w:r>
          </w:p>
        </w:tc>
        <w:tc>
          <w:tcPr>
            <w:tcW w:w="0" w:type="auto"/>
            <w:tcBorders>
              <w:top w:val="single" w:sz="6" w:space="0" w:color="C8D6E0"/>
              <w:left w:val="single" w:sz="6" w:space="0" w:color="C8D6E0"/>
              <w:bottom w:val="single" w:sz="6" w:space="0" w:color="C8D6E0"/>
              <w:right w:val="single" w:sz="6" w:space="0" w:color="C8D6E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0017666" w14:textId="77777777" w:rsidR="00370369" w:rsidRDefault="00370369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Value System / Frame</w:t>
            </w:r>
          </w:p>
        </w:tc>
        <w:tc>
          <w:tcPr>
            <w:tcW w:w="0" w:type="auto"/>
            <w:tcBorders>
              <w:top w:val="single" w:sz="6" w:space="0" w:color="C8D6E0"/>
              <w:left w:val="single" w:sz="6" w:space="0" w:color="C8D6E0"/>
              <w:bottom w:val="single" w:sz="6" w:space="0" w:color="C8D6E0"/>
              <w:right w:val="single" w:sz="6" w:space="0" w:color="C8D6E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3281221" w14:textId="77777777" w:rsidR="00370369" w:rsidRDefault="00370369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VMT {A,F,G,R,T}; every citizen/family/business/state is a frame; participation condition θ</w:t>
            </w:r>
          </w:p>
        </w:tc>
      </w:tr>
    </w:tbl>
    <w:p w14:paraId="40047487" w14:textId="77777777" w:rsidR="00370369" w:rsidRDefault="00370369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10 axes: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economic · educational · scientific · demographic · cognitive · infrastructural · social_stability · ecological · meaning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· epistemic. Weights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w(t)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are the state frame's democratically-set priorities — an open, revisable, contestable political choice,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not a claim that the axes are interchangeable.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Other frames keep their own weights; the state does not translate or overwrite internal frame value — it acts only at inter-frame externalities + material floors.</w:t>
      </w:r>
    </w:p>
    <w:p w14:paraId="05F736B7" w14:textId="77777777" w:rsidR="00370369" w:rsidRDefault="00370369">
      <w:pPr>
        <w:pStyle w:val="Heading1"/>
        <w:rPr>
          <w:rFonts w:ascii="Calibri" w:eastAsia="Times New Roman" w:hAnsi="Calibri" w:cs="Calibri"/>
          <w:lang w:val="en"/>
        </w:rPr>
      </w:pPr>
      <w:bookmarkStart w:id="6" w:name="_Toc234180123"/>
      <w:r>
        <w:rPr>
          <w:rFonts w:ascii="Calibri" w:eastAsia="Times New Roman" w:hAnsi="Calibri" w:cs="Calibri"/>
          <w:lang w:val="en"/>
        </w:rPr>
        <w:t>4. The Governing Loop (one tick)</w:t>
      </w:r>
      <w:bookmarkEnd w:id="6"/>
    </w:p>
    <w:p w14:paraId="77FAAB85" w14:textId="77777777" w:rsidR="00370369" w:rsidRDefault="00370369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sense (richly) → diagnose imbalance → generate demand → RESPOND (graduated).</w:t>
      </w:r>
    </w:p>
    <w:p w14:paraId="6693117D" w14:textId="77777777" w:rsidR="00370369" w:rsidRDefault="00370369">
      <w:pPr>
        <w:pStyle w:val="HTMLPreformatted"/>
        <w:rPr>
          <w:color w:val="1A1A1A"/>
          <w:lang w:val="en"/>
        </w:rPr>
      </w:pPr>
      <w:r>
        <w:rPr>
          <w:color w:val="1A1A1A"/>
          <w:lang w:val="en"/>
        </w:rPr>
        <w:t xml:space="preserve">imbalance =  w_a · distance(current_Æ, target_band)   ← </w:t>
      </w:r>
      <w:r>
        <w:rPr>
          <w:color w:val="1A1A1A"/>
          <w:lang w:val="en"/>
        </w:rPr>
        <w:t>steering signal, weight-scaled</w:t>
      </w:r>
    </w:p>
    <w:p w14:paraId="3312D223" w14:textId="77777777" w:rsidR="00370369" w:rsidRDefault="00370369">
      <w:pPr>
        <w:pStyle w:val="HTMLPreformatted"/>
        <w:rPr>
          <w:color w:val="1A1A1A"/>
          <w:lang w:val="en"/>
        </w:rPr>
      </w:pPr>
      <w:r>
        <w:rPr>
          <w:color w:val="1A1A1A"/>
          <w:lang w:val="en"/>
        </w:rPr>
        <w:t xml:space="preserve">           + below_floor_penalty                       ← LARGE; NOT weight-scaled</w:t>
      </w:r>
    </w:p>
    <w:p w14:paraId="74144780" w14:textId="77777777" w:rsidR="00370369" w:rsidRDefault="00370369">
      <w:pPr>
        <w:pStyle w:val="HTMLPreformatted"/>
        <w:rPr>
          <w:color w:val="1A1A1A"/>
          <w:lang w:val="en"/>
        </w:rPr>
      </w:pPr>
      <w:r>
        <w:rPr>
          <w:color w:val="1A1A1A"/>
          <w:lang w:val="en"/>
        </w:rPr>
        <w:t xml:space="preserve">           + variance_penalty(across cohorts)          ← equity; NOT weight-scaled</w:t>
      </w:r>
    </w:p>
    <w:p w14:paraId="490801F2" w14:textId="77777777" w:rsidR="00370369" w:rsidRDefault="00370369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The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response is graduated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: coerce only where confidence × inter-frame permits; otherwise illuminate + incentivize. Steer on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settled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value + trends; act cautiously on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provisional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  <w:lang w:val="en"/>
        </w:rPr>
        <w:t>value; hysteresis limits swing. (Formal math, event schemas, cohort definition, target-band setting, and a sample tick are the pending formal spec — see §15.)</w:t>
      </w:r>
    </w:p>
    <w:p w14:paraId="533F71E9" w14:textId="77777777" w:rsidR="00370369" w:rsidRDefault="00370369">
      <w:pPr>
        <w:pStyle w:val="Heading1"/>
        <w:rPr>
          <w:rFonts w:ascii="Calibri" w:eastAsia="Times New Roman" w:hAnsi="Calibri" w:cs="Calibri"/>
          <w:lang w:val="en"/>
        </w:rPr>
      </w:pPr>
      <w:bookmarkStart w:id="7" w:name="_Toc234180124"/>
      <w:r>
        <w:rPr>
          <w:rFonts w:ascii="Calibri" w:eastAsia="Times New Roman" w:hAnsi="Calibri" w:cs="Calibri"/>
          <w:lang w:val="en"/>
        </w:rPr>
        <w:t>5. The Charter &amp; Norm Hierarchy</w:t>
      </w:r>
      <w:bookmarkEnd w:id="7"/>
    </w:p>
    <w:p w14:paraId="4401DF0C" w14:textId="77777777" w:rsidR="00370369" w:rsidRDefault="00370369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>Supreme (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jus cogens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), 22 articles / 6 parts, unamendable eternity core,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plus the graduated-coercion principle</w:t>
      </w:r>
      <w:r>
        <w:rPr>
          <w:rFonts w:ascii="Calibri" w:hAnsi="Calibri" w:cs="Calibri"/>
          <w:color w:val="1A1A1A"/>
          <w:sz w:val="22"/>
          <w:szCs w:val="22"/>
          <w:lang w:val="en"/>
        </w:rPr>
        <w:t>: coercive power is a function of measurement confidence and inter-frame scope; the state may compel only on defensible, objective, inter-frame or floor-relevant measurement.</w:t>
      </w:r>
    </w:p>
    <w:p w14:paraId="16D69C50" w14:textId="77777777" w:rsidR="00370369" w:rsidRDefault="00370369">
      <w:pPr>
        <w:pStyle w:val="HTMLPreformatted"/>
        <w:rPr>
          <w:color w:val="1A1A1A"/>
          <w:lang w:val="en"/>
        </w:rPr>
      </w:pPr>
      <w:r>
        <w:rPr>
          <w:color w:val="1A1A1A"/>
          <w:lang w:val="en"/>
        </w:rPr>
        <w:t xml:space="preserve">Charter (principle) → </w:t>
      </w:r>
      <w:r>
        <w:rPr>
          <w:color w:val="1A1A1A"/>
          <w:lang w:val="en"/>
        </w:rPr>
        <w:t>State Constitution → Legal Codes (specific thresholds/penalties) → Regulations → Rulings   (conform-or-VOID)</w:t>
      </w:r>
    </w:p>
    <w:p w14:paraId="42377172" w14:textId="77777777" w:rsidR="00370369" w:rsidRDefault="00370369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Charter = methodology (universal); the specific coercion ladders = implementation (per-polity).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The 15 principles +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graduated coercion (new)</w:t>
      </w:r>
      <w:r>
        <w:rPr>
          <w:rFonts w:ascii="Calibri" w:hAnsi="Calibri" w:cs="Calibri"/>
          <w:color w:val="1A1A1A"/>
          <w:sz w:val="22"/>
          <w:szCs w:val="22"/>
          <w:lang w:val="en"/>
        </w:rPr>
        <w:t>.</w:t>
      </w:r>
    </w:p>
    <w:p w14:paraId="6407E7B9" w14:textId="77777777" w:rsidR="00370369" w:rsidRDefault="00370369">
      <w:pPr>
        <w:pStyle w:val="Heading1"/>
        <w:rPr>
          <w:rFonts w:ascii="Calibri" w:eastAsia="Times New Roman" w:hAnsi="Calibri" w:cs="Calibri"/>
          <w:lang w:val="en"/>
        </w:rPr>
      </w:pPr>
      <w:bookmarkStart w:id="8" w:name="_Toc234180125"/>
      <w:r>
        <w:rPr>
          <w:rFonts w:ascii="Calibri" w:eastAsia="Times New Roman" w:hAnsi="Calibri" w:cs="Calibri"/>
          <w:lang w:val="en"/>
        </w:rPr>
        <w:lastRenderedPageBreak/>
        <w:t>6. Governance Mechanics</w:t>
      </w:r>
      <w:bookmarkEnd w:id="8"/>
    </w:p>
    <w:p w14:paraId="1E517EB9" w14:textId="77777777" w:rsidR="00370369" w:rsidRDefault="00370369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>Civic loop (</w:t>
      </w:r>
      <w:r>
        <w:rPr>
          <w:rStyle w:val="HTMLCode"/>
          <w:color w:val="1A1A1A"/>
          <w:lang w:val="en"/>
        </w:rPr>
        <w:t>NeedAnnounced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· </w:t>
      </w:r>
      <w:r>
        <w:rPr>
          <w:rStyle w:val="HTMLCode"/>
          <w:color w:val="1A1A1A"/>
          <w:lang w:val="en"/>
        </w:rPr>
        <w:t>ContributionMade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claimed-Æ · </w:t>
      </w:r>
      <w:r>
        <w:rPr>
          <w:rStyle w:val="HTMLCode"/>
          <w:color w:val="1A1A1A"/>
          <w:lang w:val="en"/>
        </w:rPr>
        <w:t>ValueAttested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realized-Æ, cross-checked &amp; staked · </w:t>
      </w:r>
      <w:r>
        <w:rPr>
          <w:rStyle w:val="HTMLCode"/>
          <w:color w:val="1A1A1A"/>
          <w:lang w:val="en"/>
        </w:rPr>
        <w:t>VoteCast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); claimed-vs-attested gap = flow resistance. Weights &amp; floor-thresholds voted; axes + existence-of-floors entrenched.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Liquid democracy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(revocable topic-scoped delegation, quadratic cost, capped, party-weight quadratically discounted).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Experts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= Brier-calibrated, reach non-purchasable, annotate-not-censor.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Recognition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= peer-issued, costly, network-centrality-dampened + decayed.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Minority protection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= per-cohort non-votable floors + Equity/Ombudsman guardian + symmetry-of-harm.</w:t>
      </w:r>
    </w:p>
    <w:p w14:paraId="377742DE" w14:textId="77777777" w:rsidR="00370369" w:rsidRDefault="00370369">
      <w:pPr>
        <w:pStyle w:val="Heading1"/>
        <w:rPr>
          <w:rFonts w:ascii="Calibri" w:eastAsia="Times New Roman" w:hAnsi="Calibri" w:cs="Calibri"/>
          <w:lang w:val="en"/>
        </w:rPr>
      </w:pPr>
      <w:bookmarkStart w:id="9" w:name="_Toc234180126"/>
      <w:r>
        <w:rPr>
          <w:rFonts w:ascii="Calibri" w:eastAsia="Times New Roman" w:hAnsi="Calibri" w:cs="Calibri"/>
          <w:lang w:val="en"/>
        </w:rPr>
        <w:t>7. Value, Money &amp; Markets</w:t>
      </w:r>
      <w:bookmarkEnd w:id="9"/>
    </w:p>
    <w:p w14:paraId="754D194F" w14:textId="77777777" w:rsidR="00370369" w:rsidRDefault="00370369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Two layers: sovereign non-transferable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Æ-ledger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+ thin </w:t>
      </w:r>
      <w:r>
        <w:rPr>
          <w:rStyle w:val="HTMLCode"/>
          <w:color w:val="1A1A1A"/>
          <w:lang w:val="en"/>
        </w:rPr>
        <w:t>$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settlement rail (money = one axis + instrument, never sovereign — separates civic power from wealth, anti-plutocracy).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Markets clear allocation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(Hayek); the state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prices only the externality residual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(multidimensional Pigou);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profit ≠ civilizational value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. Consumption ceremony proportional to stakes;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no silent-positive attestation for contested/high-stakes goods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(silence=attestation only for T0 low-stakes, with random audits + asymmetric consumer protection). Realized Æ 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= cross-currency invariant. Inter-frame routing over a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privacy-preserving frame disclosure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(scoped summary, cohort-aggregate default, forbidden-inference limits, ZK-attestable).</w:t>
      </w:r>
    </w:p>
    <w:p w14:paraId="29D0E3A9" w14:textId="77777777" w:rsidR="00370369" w:rsidRDefault="00370369">
      <w:pPr>
        <w:pStyle w:val="Heading1"/>
        <w:rPr>
          <w:rFonts w:ascii="Calibri" w:eastAsia="Times New Roman" w:hAnsi="Calibri" w:cs="Calibri"/>
          <w:lang w:val="en"/>
        </w:rPr>
      </w:pPr>
      <w:bookmarkStart w:id="10" w:name="_Toc234180127"/>
      <w:r>
        <w:rPr>
          <w:rFonts w:ascii="Calibri" w:eastAsia="Times New Roman" w:hAnsi="Calibri" w:cs="Calibri"/>
          <w:lang w:val="en"/>
        </w:rPr>
        <w:t>8. Property, Rent &amp; the Commons</w:t>
      </w:r>
      <w:bookmarkEnd w:id="10"/>
    </w:p>
    <w:p w14:paraId="4DBA9CE4" w14:textId="77777777" w:rsidR="00370369" w:rsidRDefault="00370369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Own the earned, not the unearned.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Rent is priced from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observable signatures — not an uncomputable counterfactual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: returns durably above the competitive/risk-adjusted norm, monopoly pricing power, location value by comparables, resources/spectrum with clear title, network-effect capture. Narrow auditable categories replace “captured − created” as the operational test.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AI-compute/data/network-effects = the new “land”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→ </w:t>
      </w:r>
      <w:r>
        <w:rPr>
          <w:rFonts w:ascii="Calibri" w:hAnsi="Calibri" w:cs="Calibri"/>
          <w:color w:val="1A1A1A"/>
          <w:sz w:val="22"/>
          <w:szCs w:val="22"/>
          <w:lang w:val="en"/>
        </w:rPr>
        <w:t>rent to a commons fund + citizen dividend. Renting a produced asset = earned service income; only the land/location/scarcity/monopoly component is unearned. Inheritance: goods bequeathable; land-rent commons-owed; ceiling caps dynasties; Æ/standing non-transferable. Capital/credit: returns to creation, not ownership (module least-tested).</w:t>
      </w:r>
    </w:p>
    <w:p w14:paraId="0B21B025" w14:textId="77777777" w:rsidR="00370369" w:rsidRDefault="00370369">
      <w:pPr>
        <w:pStyle w:val="Heading1"/>
        <w:rPr>
          <w:rFonts w:ascii="Calibri" w:eastAsia="Times New Roman" w:hAnsi="Calibri" w:cs="Calibri"/>
          <w:lang w:val="en"/>
        </w:rPr>
      </w:pPr>
      <w:bookmarkStart w:id="11" w:name="_Toc234180128"/>
      <w:r>
        <w:rPr>
          <w:rFonts w:ascii="Calibri" w:eastAsia="Times New Roman" w:hAnsi="Calibri" w:cs="Calibri"/>
          <w:lang w:val="en"/>
        </w:rPr>
        <w:t>9. Distributive Justice</w:t>
      </w:r>
      <w:bookmarkEnd w:id="11"/>
    </w:p>
    <w:p w14:paraId="266F42B3" w14:textId="77777777" w:rsidR="00370369" w:rsidRDefault="00370369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Capability sufficientarianism + contribution-band + anti-concentration ceiling + generosity premium = the corridor.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Floors are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capability availability — material/infrastructural inputs — NOT measured internal functioning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(the state guarantees the means to function; it does not audit whether you feel fulfilled — resolving the mind-monitoring objection). The ascetic who chooses low functioning is free; only availability is guaranteed. Not egalitarian, not pure meritocratic, not utilitarian (floors lexically prior).</w:t>
      </w:r>
    </w:p>
    <w:p w14:paraId="155E9CE7" w14:textId="77777777" w:rsidR="00370369" w:rsidRDefault="00370369">
      <w:pPr>
        <w:pStyle w:val="Heading1"/>
        <w:rPr>
          <w:rFonts w:ascii="Calibri" w:eastAsia="Times New Roman" w:hAnsi="Calibri" w:cs="Calibri"/>
          <w:lang w:val="en"/>
        </w:rPr>
      </w:pPr>
      <w:bookmarkStart w:id="12" w:name="_Toc234180129"/>
      <w:r>
        <w:rPr>
          <w:rFonts w:ascii="Calibri" w:eastAsia="Times New Roman" w:hAnsi="Calibri" w:cs="Calibri"/>
          <w:lang w:val="en"/>
        </w:rPr>
        <w:t>10. Law, Rights &amp; Crime — the Coercion Ladders</w:t>
      </w:r>
      <w:bookmarkEnd w:id="12"/>
    </w:p>
    <w:p w14:paraId="69B61585" w14:textId="77777777" w:rsidR="00370369" w:rsidRDefault="00370369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lastRenderedPageBreak/>
        <w:t xml:space="preserve">Coercion enters as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graduated escalation across lower-bound thresholds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: crossing a value-flow lower bound triggers, in rising order,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annotation → charge/fine → access/standing restriction → loss of liberty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, each threshold defined per-polity and only on defensible, inter-frame/floor-relevant measurement. Inviolable rights (life, bodily integrity, liberty, consent, exit) are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not priceable/votable/tradeable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.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Ultra-anti-value by KIND: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rights-violation (not priced → criminal law) · malicious (charges + bounded clawback) · self-directed/distress (care, not punishment) · 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negligent (Pigou).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Incapacitation justified by A9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(participation that makes others' θ fail), not retribution. Courts: rebuttable, contestable, independent reviewer;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non-retroactivity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(contemporaneous norms; evidence updates, norms do not).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Distinguish criminal sanction / civil liability / administrative restriction / reputational annotation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— different ladders, not one automated debt.</w:t>
      </w:r>
    </w:p>
    <w:p w14:paraId="096473B9" w14:textId="77777777" w:rsidR="00370369" w:rsidRDefault="00370369">
      <w:pPr>
        <w:pStyle w:val="Heading1"/>
        <w:rPr>
          <w:rFonts w:ascii="Calibri" w:eastAsia="Times New Roman" w:hAnsi="Calibri" w:cs="Calibri"/>
          <w:lang w:val="en"/>
        </w:rPr>
      </w:pPr>
      <w:bookmarkStart w:id="13" w:name="_Toc234180130"/>
      <w:r>
        <w:rPr>
          <w:rFonts w:ascii="Calibri" w:eastAsia="Times New Roman" w:hAnsi="Calibri" w:cs="Calibri"/>
          <w:lang w:val="en"/>
        </w:rPr>
        <w:t>11. Leadership &amp; Succession</w:t>
      </w:r>
      <w:bookmarkEnd w:id="13"/>
    </w:p>
    <w:p w14:paraId="6DB842F7" w14:textId="77777777" w:rsidR="00370369" w:rsidRDefault="00370369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Separation of powers (demos legislates values · Sub-Agents execute · courts review).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Vote on values, appoint on competence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(revocable); sortition oversight juries.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Rotation without losing PositionMemory.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Continuous accountability + recall + capture→clawback (organs included).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Peaceful transfer structurally defused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(power distributed, transparency voids seizure, loyalty to the Charter not the person).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Meta-Orchestrator = rotating, Charter-bound coordinator, not sovereign.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Succession = validated hot-swap of an open algorithmic officeholder (reproducible build/logic-hash, multi-vendor cross-check, staged autonomy, monitoring + clawback for sleepers) — with a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named human liability chain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and suspension/emergency-injunction powers.</w:t>
      </w:r>
    </w:p>
    <w:p w14:paraId="50EDF7DD" w14:textId="77777777" w:rsidR="00370369" w:rsidRDefault="00370369">
      <w:pPr>
        <w:pStyle w:val="Heading1"/>
        <w:rPr>
          <w:rFonts w:ascii="Calibri" w:eastAsia="Times New Roman" w:hAnsi="Calibri" w:cs="Calibri"/>
          <w:lang w:val="en"/>
        </w:rPr>
      </w:pPr>
      <w:bookmarkStart w:id="14" w:name="_Toc234180131"/>
      <w:r>
        <w:rPr>
          <w:rFonts w:ascii="Calibri" w:eastAsia="Times New Roman" w:hAnsi="Calibri" w:cs="Calibri"/>
          <w:lang w:val="en"/>
        </w:rPr>
        <w:t>12. Anti-Value Taxonomy</w:t>
      </w:r>
      <w:bookmarkEnd w:id="14"/>
    </w:p>
    <w:p w14:paraId="544AB61F" w14:textId="77777777" w:rsidR="00370369" w:rsidRDefault="00370369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Scope (edge/systemic) · lag → instrument · intent/kind.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Responsibility share bounded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— proportional-exposure by default; Shapley only on small well-defined participant sets.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Clawback bounded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: statute of limitations for non-concealed harm;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fixed-rate Pigouvian premiums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instead of continuous recomputation;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systemic-risk throttles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(transition bands, insurance, bankruptcy, no synchronized clawback); perpetual liability only for concealment/fraud. Three profiles (yogurt / content-dependency / BigTech). The simulation tests estimator robustness under gaming, not against a truth oracle.</w:t>
      </w:r>
    </w:p>
    <w:p w14:paraId="51399F20" w14:textId="77777777" w:rsidR="00370369" w:rsidRDefault="00370369">
      <w:pPr>
        <w:pStyle w:val="Heading1"/>
        <w:rPr>
          <w:rFonts w:ascii="Calibri" w:eastAsia="Times New Roman" w:hAnsi="Calibri" w:cs="Calibri"/>
          <w:lang w:val="en"/>
        </w:rPr>
      </w:pPr>
      <w:bookmarkStart w:id="15" w:name="_Toc234180132"/>
      <w:r>
        <w:rPr>
          <w:rFonts w:ascii="Calibri" w:eastAsia="Times New Roman" w:hAnsi="Calibri" w:cs="Calibri"/>
          <w:lang w:val="en"/>
        </w:rPr>
        <w:t>13. Implementation / Runtime</w:t>
      </w:r>
      <w:bookmarkEnd w:id="15"/>
    </w:p>
    <w:p w14:paraId="2A9A5CA1" w14:textId="77777777" w:rsidR="00370369" w:rsidRDefault="00370369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Orkestron stack pointed at a polity (orkestro.net Agent Hub · orkestron.dev Contracts 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· orkestron.ai compute exchange · aeilus VMT); tiers A/B/C + event ticks + cohort reasoning → ~100× fewer LLM calls.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Verifiable log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(Merkle, not a blockchain). Æ non-transferable, never a token.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The sim/game is the doctrine's test bench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for measurement robustness.</w:t>
      </w:r>
    </w:p>
    <w:p w14:paraId="7EE04355" w14:textId="77777777" w:rsidR="00370369" w:rsidRDefault="00370369">
      <w:pPr>
        <w:pStyle w:val="Heading1"/>
        <w:rPr>
          <w:rFonts w:ascii="Calibri" w:eastAsia="Times New Roman" w:hAnsi="Calibri" w:cs="Calibri"/>
          <w:lang w:val="en"/>
        </w:rPr>
      </w:pPr>
      <w:bookmarkStart w:id="16" w:name="_Toc234180133"/>
      <w:r>
        <w:rPr>
          <w:rFonts w:ascii="Calibri" w:eastAsia="Times New Roman" w:hAnsi="Calibri" w:cs="Calibri"/>
          <w:lang w:val="en"/>
        </w:rPr>
        <w:t>14. Comparative Positioning</w:t>
      </w:r>
      <w:bookmarkEnd w:id="16"/>
    </w:p>
    <w:p w14:paraId="7C841294" w14:textId="77777777" w:rsidR="00370369" w:rsidRDefault="00370369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Exceeds rivals on: value beyond GDP (a tensor), perspectival pluralism + minority floors, anti-value priced, money demoted, transparency/contestability/non-retroactivity, cybernetic feedback + a value-vector. Distinct from central planning by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keeping markets for allocation and grading coercion by measurement confidence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(the answer to Cybersyn / social-credit / ESG failure).</w:t>
      </w:r>
    </w:p>
    <w:p w14:paraId="71C9BDF6" w14:textId="77777777" w:rsidR="00370369" w:rsidRDefault="00370369">
      <w:pPr>
        <w:pStyle w:val="Heading1"/>
        <w:rPr>
          <w:rFonts w:ascii="Calibri" w:eastAsia="Times New Roman" w:hAnsi="Calibri" w:cs="Calibri"/>
          <w:lang w:val="en"/>
        </w:rPr>
      </w:pPr>
      <w:bookmarkStart w:id="17" w:name="_Toc234180134"/>
      <w:r>
        <w:rPr>
          <w:rFonts w:ascii="Calibri" w:eastAsia="Times New Roman" w:hAnsi="Calibri" w:cs="Calibri"/>
          <w:lang w:val="en"/>
        </w:rPr>
        <w:lastRenderedPageBreak/>
        <w:t>15. Known Limits &amp; Open Work (honest — for the next review round)</w:t>
      </w:r>
      <w:bookmarkEnd w:id="17"/>
    </w:p>
    <w:p w14:paraId="63896C7E" w14:textId="77777777" w:rsidR="00370369" w:rsidRDefault="00370369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Resolved in v2: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  <w:lang w:val="en"/>
        </w:rPr>
        <w:t>measurement-tyranny / apex-metric / meaning-paternalism (sensing-vs-coercion) · rent counterfactual (→ observable signatures) · Goodhart (→ adversarial measurement + retrospective revaluation) · Hayek (→ markets kept, state supplements) · Shapley/clawback cascade (→ bounded) · attestation silent-positive (→ removed for contested goods).</w:t>
      </w:r>
    </w:p>
    <w:p w14:paraId="2A140DCB" w14:textId="77777777" w:rsidR="00370369" w:rsidRDefault="00370369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Still genuinely hard / open (targets for the next critique):</w:t>
      </w:r>
    </w:p>
    <w:p w14:paraId="5E61ED6D" w14:textId="77777777" w:rsidR="00370369" w:rsidRDefault="00370369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Formal executable spec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— imbalance math, event JSON-schemas, state machine, cohort definition &amp;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anti-fragmentation, target-band setting, hysteresis, a sample tick (the P0 spec).</w:t>
      </w:r>
    </w:p>
    <w:p w14:paraId="6DDE4FC7" w14:textId="77777777" w:rsidR="00370369" w:rsidRDefault="00370369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The inter-frame / intra-frame boundary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— the line gating coercion is contestable and expansible; needs a bright-line test + judicial policing.</w:t>
      </w:r>
    </w:p>
    <w:p w14:paraId="04A775B0" w14:textId="77777777" w:rsidR="00370369" w:rsidRDefault="00370369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Governance of the measurement/accounting-rule layer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— who writes/audits the value-attribution schemas (else the un-voted coder is the real sovereign): independent standards body + sortition-jury ratification + court review.</w:t>
      </w:r>
    </w:p>
    <w:p w14:paraId="275AA619" w14:textId="77777777" w:rsidR="00370369" w:rsidRDefault="00370369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Confidence estimation &amp; its governance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— who sets the confidence threshold that unlocks coercion, and how it resists capture.</w:t>
      </w:r>
    </w:p>
    <w:p w14:paraId="5BA2D9A8" w14:textId="77777777" w:rsidR="00370369" w:rsidRDefault="00370369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Missing constitutional pillars — promoted to now: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external relations &amp;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defense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emergency / state-of-exception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citizenship + identity / AI-agent personhood + anti-Sybil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and a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bounded-rationality model of the citizen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.</w:t>
      </w:r>
    </w:p>
    <w:p w14:paraId="1184F44D" w14:textId="77777777" w:rsidR="00370369" w:rsidRDefault="00370369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Human liability chain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for algorithmic-officeholder decisions;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constituent power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(a human body may replace the Charter by deep supermajority — reconciling “no final authority” with the eternity core).</w:t>
      </w:r>
    </w:p>
    <w:p w14:paraId="349CE186" w14:textId="77777777" w:rsidR="00370369" w:rsidRDefault="00370369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Capital/credit module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and a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prior-art failure→response matrix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.</w:t>
      </w:r>
    </w:p>
    <w:p w14:paraId="0184AA53" w14:textId="77777777" w:rsidR="00370369" w:rsidRDefault="00370369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Sensing's own limits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— even without coercion, pervasive measurement chills behaviour; privacy/aggregation/consent limits on the sensing layer itself.</w:t>
      </w:r>
    </w:p>
    <w:p w14:paraId="5986E10E" w14:textId="77777777" w:rsidR="00370369" w:rsidRDefault="00370369">
      <w:pPr>
        <w:pStyle w:val="Heading1"/>
        <w:rPr>
          <w:rFonts w:ascii="Calibri" w:eastAsia="Times New Roman" w:hAnsi="Calibri" w:cs="Calibri"/>
          <w:lang w:val="en"/>
        </w:rPr>
      </w:pPr>
      <w:bookmarkStart w:id="18" w:name="_Toc234180135"/>
      <w:r>
        <w:rPr>
          <w:rFonts w:ascii="Calibri" w:eastAsia="Times New Roman" w:hAnsi="Calibri" w:cs="Calibri"/>
          <w:lang w:val="en"/>
        </w:rPr>
        <w:t>16. Status &amp; Next</w:t>
      </w:r>
      <w:bookmarkEnd w:id="18"/>
    </w:p>
    <w:p w14:paraId="2674CB0D" w14:textId="77777777" w:rsidR="00370369" w:rsidRDefault="00370369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Charter + 18 methodology docs + 38-meta-model registry + Open-Decisions + this v2 + the critique triage.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Next: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  <w:lang w:val="en"/>
        </w:rPr>
        <w:t>reconcile the detailed docs to v2; write the formal spec; then the missing pillars; re-run the 3-panel critique to confirm the measurement blockers are retired and focus review on §15's open targets.</w:t>
      </w:r>
    </w:p>
    <w:p w14:paraId="699E856A" w14:textId="77777777" w:rsidR="00370369" w:rsidRDefault="00370369">
      <w:pPr>
        <w:pStyle w:val="NormalWeb"/>
        <w:spacing w:before="320" w:beforeAutospacing="0"/>
        <w:rPr>
          <w:rFonts w:ascii="Calibri" w:hAnsi="Calibri" w:cs="Calibri"/>
          <w:color w:val="666677"/>
          <w:sz w:val="19"/>
          <w:szCs w:val="19"/>
          <w:lang w:val="en"/>
        </w:rPr>
      </w:pPr>
      <w:r>
        <w:rPr>
          <w:rFonts w:ascii="Calibri" w:hAnsi="Calibri" w:cs="Calibri"/>
          <w:i/>
          <w:iCs/>
          <w:color w:val="666677"/>
          <w:sz w:val="19"/>
          <w:szCs w:val="19"/>
          <w:lang w:val="en"/>
        </w:rPr>
        <w:t>Synthesis document; on conflict, the reconciled detailed docs + the Charter govern.</w:t>
      </w:r>
    </w:p>
    <w:sectPr w:rsidR="003703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62582"/>
    <w:multiLevelType w:val="multilevel"/>
    <w:tmpl w:val="E22C7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3E4F1C"/>
    <w:multiLevelType w:val="multilevel"/>
    <w:tmpl w:val="4CCC9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7366706">
    <w:abstractNumId w:val="0"/>
  </w:num>
  <w:num w:numId="2" w16cid:durableId="20408119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ADF"/>
    <w:rsid w:val="001A0ADF"/>
    <w:rsid w:val="00370369"/>
    <w:rsid w:val="00541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Y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663E8B"/>
  <w15:chartTrackingRefBased/>
  <w15:docId w15:val="{22538194-52ED-42FD-A928-923918D86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Y" w:eastAsia="en-C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CFE0EE"/>
      </w:pBdr>
      <w:spacing w:before="400" w:after="100" w:afterAutospacing="1"/>
      <w:outlineLvl w:val="0"/>
    </w:pPr>
    <w:rPr>
      <w:b/>
      <w:bCs/>
      <w:color w:val="1A3A5A"/>
      <w:kern w:val="36"/>
      <w:sz w:val="38"/>
      <w:szCs w:val="38"/>
    </w:rPr>
  </w:style>
  <w:style w:type="paragraph" w:styleId="Heading2">
    <w:name w:val="heading 2"/>
    <w:basedOn w:val="Normal"/>
    <w:link w:val="Heading2Char"/>
    <w:uiPriority w:val="9"/>
    <w:qFormat/>
    <w:pPr>
      <w:spacing w:before="260" w:after="100" w:afterAutospacing="1"/>
      <w:outlineLvl w:val="1"/>
    </w:pPr>
    <w:rPr>
      <w:b/>
      <w:bCs/>
      <w:color w:val="21506E"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F2F5F8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8" w:color="DBE4EC"/>
        <w:left w:val="single" w:sz="6" w:space="8" w:color="DBE4EC"/>
        <w:bottom w:val="single" w:sz="6" w:space="8" w:color="DBE4EC"/>
        <w:right w:val="single" w:sz="6" w:space="8" w:color="DBE4EC"/>
      </w:pBdr>
      <w:shd w:val="clear" w:color="auto" w:fill="F2F5F8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9"/>
      <w:szCs w:val="19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subtitle">
    <w:name w:val="subtitle"/>
    <w:basedOn w:val="Normal"/>
    <w:pPr>
      <w:spacing w:after="100" w:afterAutospacing="1"/>
    </w:pPr>
    <w:rPr>
      <w:color w:val="4A6A8A"/>
      <w:sz w:val="28"/>
      <w:szCs w:val="28"/>
    </w:rPr>
  </w:style>
  <w:style w:type="paragraph" w:customStyle="1" w:styleId="callout">
    <w:name w:val="callout"/>
    <w:basedOn w:val="Normal"/>
    <w:pPr>
      <w:pBdr>
        <w:left w:val="single" w:sz="24" w:space="12" w:color="D08A2E"/>
      </w:pBdr>
      <w:shd w:val="clear" w:color="auto" w:fill="FDF6EC"/>
      <w:spacing w:before="200" w:after="200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paragraph" w:styleId="TOC1">
    <w:name w:val="toc 1"/>
    <w:basedOn w:val="Normal"/>
    <w:next w:val="Normal"/>
    <w:autoRedefine/>
    <w:uiPriority w:val="39"/>
    <w:unhideWhenUsed/>
    <w:rsid w:val="001A0AD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4838613">
      <w:blockQuote w:val="1"/>
      <w:marLeft w:val="0"/>
      <w:marRight w:val="0"/>
      <w:marTop w:val="160"/>
      <w:marBottom w:val="160"/>
      <w:divBdr>
        <w:top w:val="none" w:sz="0" w:space="0" w:color="auto"/>
        <w:left w:val="single" w:sz="18" w:space="12" w:color="9DBDD0"/>
        <w:bottom w:val="none" w:sz="0" w:space="0" w:color="auto"/>
        <w:right w:val="none" w:sz="0" w:space="0" w:color="auto"/>
      </w:divBdr>
    </w:div>
    <w:div w:id="421489148">
      <w:marLeft w:val="0"/>
      <w:marRight w:val="0"/>
      <w:marTop w:val="200"/>
      <w:marBottom w:val="200"/>
      <w:divBdr>
        <w:top w:val="none" w:sz="0" w:space="0" w:color="auto"/>
        <w:left w:val="single" w:sz="24" w:space="12" w:color="D08A2E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2348</Words>
  <Characters>13390</Characters>
  <Application>Microsoft Office Word</Application>
  <DocSecurity>0</DocSecurity>
  <Lines>111</Lines>
  <Paragraphs>31</Paragraphs>
  <ScaleCrop>false</ScaleCrop>
  <Company/>
  <LinksUpToDate>false</LinksUpToDate>
  <CharactersWithSpaces>15707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Axiacracy — Compendium v2</dc:title>
  <dc:subject/>
  <dc:creator>Виктор Большаков</dc:creator>
  <cp:keywords/>
  <dc:description/>
  <cp:lastModifiedBy>Виктор Большаков</cp:lastModifiedBy>
  <cp:revision>2</cp:revision>
  <dcterms:created xsi:type="dcterms:W3CDTF">2026-07-05T18:41:00Z</dcterms:created>
  <dcterms:modified xsi:type="dcterms:W3CDTF">2026-07-05T18:41:00Z</dcterms:modified>
</cp:coreProperties>
</file>