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9F8A9A" w14:textId="7B7A279E" w:rsidR="000E5378" w:rsidRDefault="000E5378" w:rsidP="000E5378">
      <w:pPr>
        <w:pStyle w:val="Title"/>
      </w:pPr>
      <w:r w:rsidRPr="000E5378">
        <w:t>Legume-based intensification in East and Southern Africa: food security impacts and the role of gender</w:t>
      </w:r>
    </w:p>
    <w:p w14:paraId="3FF751D1" w14:textId="35AEB29C" w:rsidR="00DC1C68" w:rsidRDefault="00DC1C68" w:rsidP="00DC1C68">
      <w:pPr>
        <w:pStyle w:val="Heading1"/>
      </w:pPr>
      <w:r>
        <w:t>Introduction</w:t>
      </w:r>
    </w:p>
    <w:p w14:paraId="7673F44E" w14:textId="79B8C1FF" w:rsidR="004A0C1C" w:rsidRDefault="004A0C1C" w:rsidP="004A0C1C">
      <w:r>
        <w:t>Meeting global food demand by 2050 is a broadly recognized challenge</w:t>
      </w:r>
      <w:r w:rsidRPr="00A23579">
        <w:rPr>
          <w:rFonts w:cs="Calibri"/>
        </w:rPr>
        <w:t xml:space="preserve"> </w:t>
      </w:r>
      <w:r w:rsidRPr="00A23579">
        <w:rPr>
          <w:rFonts w:cs="Calibri"/>
        </w:rPr>
        <w:fldChar w:fldCharType="begin"/>
      </w:r>
      <w:r w:rsidRPr="00A23579">
        <w:rPr>
          <w:rFonts w:cs="Calibri"/>
        </w:rPr>
        <w:instrText xml:space="preserve"> ADDIN ZOTERO_ITEM CSL_CITATION {"citationID":"o2lf1asu","properties":{"formattedCitation":"(Godfray et al., 2010)","plainCitation":"(Godfray et al., 2010)","noteIndex":0},"citationItems":[{"id":1835,"uris":["http://zotero.org/groups/5881550/items/YMDCAIVN"],"itemData":{"id":1835,"type":"article-journal","abstract":"Continuing population and consumption growth will mean that the global demand for food will increase for at least another 40 years. Growing competition for land, water, and energy, in addition to the overexploitation of fisheries, will affect our ability to produce food, as will the urgent requirement to reduce the impact of the food system on the environment. The effects of climate change are a further threat. But the world can produce more food and can ensure that it is used more efficiently and equitably. A multifaceted and linked global strategy is needed to ensure sustainable and equitable food security, different components of which are explored here.","container-title":"Science","DOI":"10.1126/science.1185383","ISSN":"0036-8075, 1095-9203","issue":"5967","journalAbbreviation":"Science","language":"en","page":"812-818","source":"DOI.org (Crossref)","title":"Food Security: The Challenge of Feeding 9 Billion People","title-short":"Food Security","volume":"327","author":[{"family":"Godfray","given":"H. Charles J."},{"family":"Beddington","given":"John R."},{"family":"Crute","given":"Ian R."},{"family":"Haddad","given":"Lawrence"},{"family":"Lawrence","given":"David"},{"family":"Muir","given":"James F."},{"family":"Pretty","given":"Jules"},{"family":"Robinson","given":"Sherman"},{"family":"Thomas","given":"Sandy M."},{"family":"Toulmin","given":"Camilla"}],"issued":{"date-parts":[["2010",2,12]]},"citation-key":"godfrayFoodSecurityChallenge2010"}}],"schema":"https://github.com/citation-style-language/schema/raw/master/csl-citation.json"} </w:instrText>
      </w:r>
      <w:r w:rsidRPr="00A23579">
        <w:rPr>
          <w:rFonts w:cs="Calibri"/>
        </w:rPr>
        <w:fldChar w:fldCharType="separate"/>
      </w:r>
      <w:r w:rsidRPr="00A23579">
        <w:rPr>
          <w:rFonts w:cs="Calibri"/>
        </w:rPr>
        <w:t>(Godfray et al., 2010)</w:t>
      </w:r>
      <w:r w:rsidRPr="00A23579">
        <w:rPr>
          <w:rFonts w:cs="Calibri"/>
        </w:rPr>
        <w:fldChar w:fldCharType="end"/>
      </w:r>
      <w:r>
        <w:t xml:space="preserve">. Recent statistics suggest that eliminating hunger in all regions of the world will most likely not be possible by 2030. While global hunger prevalence has declined in recent years following troubling growth since 2014, this progress remains uneven—Africa continues to experience a growing trend in food insecurity </w:t>
      </w:r>
      <w:r w:rsidRPr="005B3F51">
        <w:rPr>
          <w:rFonts w:ascii="Calibri" w:hAnsi="Calibri" w:cs="Calibri"/>
        </w:rPr>
        <w:fldChar w:fldCharType="begin"/>
      </w:r>
      <w:r w:rsidRPr="005B3F51">
        <w:rPr>
          <w:rFonts w:ascii="Calibri" w:hAnsi="Calibri" w:cs="Calibri"/>
        </w:rPr>
        <w:instrText xml:space="preserve"> ADDIN ZOTERO_ITEM CSL_CITATION {"citationID":"B2OYuNVj","properties":{"formattedCitation":"(FAO; IFAD; UNICEF; WFP; WHO, 2025)","plainCitation":"(FAO; IFAD; UNICEF; WFP; WHO, 2025)","noteIndex":0},"citationItems":[{"id":1838,"uris":["http://zotero.org/groups/5881550/items/7W332VJU"],"itemData":{"id":1838,"type":"book","collection-title":"The State of Food Security and Nutrition in the World (SOFI)","ISBN":"978-92-5-139937-8","language":"en","note":"DOI: 10.4060/cd6008en\nCitation Key: StateFoodSecurity2025","publisher":"FAO; IFAD; UNICEF; WFP; WHO;","source":"DOI.org (Crossref)","title":"The State of Food Security and Nutrition in the World 2025","URL":"https://openknowledge.fao.org/handle/20.500.14283/cd6008en","author":[{"family":"FAO; IFAD; UNICEF; WFP; WHO","given":""}],"accessed":{"date-parts":[["2025",9,2]]},"issued":{"date-parts":[["2025",7,27]]},"citation-key":"StateFoodSecurity2025"}}],"schema":"https://github.com/citation-style-language/schema/raw/master/csl-citation.json"} </w:instrText>
      </w:r>
      <w:r w:rsidRPr="005B3F51">
        <w:rPr>
          <w:rFonts w:ascii="Calibri" w:hAnsi="Calibri" w:cs="Calibri"/>
        </w:rPr>
        <w:fldChar w:fldCharType="separate"/>
      </w:r>
      <w:r w:rsidRPr="00A23579">
        <w:rPr>
          <w:rFonts w:cs="Calibri"/>
        </w:rPr>
        <w:t>(</w:t>
      </w:r>
      <w:r w:rsidRPr="005B3F51">
        <w:rPr>
          <w:rFonts w:ascii="Calibri" w:hAnsi="Calibri" w:cs="Calibri"/>
        </w:rPr>
        <w:t>FAO; IFAD; UNICEF; WFP; WHO, 2025)</w:t>
      </w:r>
      <w:r w:rsidRPr="005B3F51">
        <w:rPr>
          <w:rFonts w:ascii="Calibri" w:hAnsi="Calibri" w:cs="Calibri"/>
        </w:rPr>
        <w:fldChar w:fldCharType="end"/>
      </w:r>
      <w:r w:rsidRPr="005B3F51">
        <w:rPr>
          <w:rFonts w:ascii="Calibri" w:hAnsi="Calibri" w:cs="Calibri"/>
        </w:rPr>
        <w:t>.</w:t>
      </w:r>
    </w:p>
    <w:p w14:paraId="352FFFF7" w14:textId="6731E03E" w:rsidR="00357FD0" w:rsidRDefault="00357FD0" w:rsidP="004A0C1C">
      <w:r>
        <w:t>Sub-Saharan Africa (</w:t>
      </w:r>
      <w:r w:rsidR="004A0C1C">
        <w:t>SSA</w:t>
      </w:r>
      <w:r>
        <w:t>)</w:t>
      </w:r>
      <w:r w:rsidR="004A0C1C">
        <w:t xml:space="preserve"> is the region at greatest risk, with projected population growth combined with frequent climate anomalies. Almost half of the cropland in the region is dedicated to cereal production, which accounts for the primary calorie and protein source for the region's population. Although, absolute yield gap in cereals remains high, numerous countries in the region have experienced significant improvements in cereal self-sufficiency rates. Nevertheless, considering the population projections, yields must grow to meet the demand by 2050</w:t>
      </w:r>
      <w:r w:rsidR="004A0C1C" w:rsidRPr="00A23579">
        <w:rPr>
          <w:rFonts w:cs="Calibri"/>
        </w:rPr>
        <w:t xml:space="preserve"> </w:t>
      </w:r>
      <w:r w:rsidR="004A0C1C" w:rsidRPr="00A23579">
        <w:rPr>
          <w:rFonts w:cs="Calibri"/>
        </w:rPr>
        <w:fldChar w:fldCharType="begin"/>
      </w:r>
      <w:r w:rsidR="004A0C1C" w:rsidRPr="00A23579">
        <w:rPr>
          <w:rFonts w:cs="Calibri"/>
        </w:rPr>
        <w:instrText xml:space="preserve"> ADDIN ZOTERO_ITEM CSL_CITATION {"citationID":"wVWHflJK","properties":{"formattedCitation":"(van Ittersum et al., 2025)","plainCitation":"(van Ittersum et al., 2025)","noteIndex":0},"citationItems":[{"id":1812,"uris":["http://zotero.org/groups/5881550/items/65DMPNQT"],"itemData":{"id":1812,"type":"article-journal","abstract":"Sub-Saharan Africa (SSA) has the world’s largest projected increase in demand for food. Increased dependence on imports makes SSA vulnerable to geopolitical and economic risks, while further expansion of agricultural land is environmentally harmful. Cereals, in particular, maize, millet, rice, sorghum, and wheat, take nearly 50% of the cropland and 43% of the calories and proteins consumed in the region. Demand is projected to double until 2050. Here, we assess recent developments in cereal self-sufficiency and provide outlooks until 2050 under different intensification, area expansion, and climate change scenarios. We use detailed data for ten countries. Cereal self-sufficiency increased between 2010 and 2020 from 84 to 92% despite the 29% population increase. The production increase was achieved by increased yields per hectare (44%), area expansion (34%), and a shift from millet to the higher yielding maize (22%). Outlooks for 2050 are less pessimistic than earlier assessments because of the larger 2020 baseline area, higher shares of maize and somewhat less steep projected population increase. Yet, to halt further area expansion, a drastic trend change in annual yield increase from the present 20 to 58 kg ha−1 y−1 is needed to achieve cereal self-sufficiency. While such yield increases have been achieved elsewhere and are feasible given the yield potentials in SSA, they require structural changes and substantial agronomic, socioeconomic, and political investments. We estimate that amounts of added nitrogen need to at least triple to achieve such yield improvements, but it is essential that this comes with improved context-specific agronomy.","container-title":"Proceedings of the National Academy of Sciences","DOI":"10.1073/pnas.2423669122","issue":"24","note":"publisher: Proceedings of the National Academy of Sciences","page":"e2423669122","source":"pnas.org (Atypon)","title":"Prospects for cereal self-sufficiency in sub-Saharan Africa","volume":"122","author":[{"family":"Ittersum","given":"Martin K.","non-dropping-particle":"van"},{"family":"Alimagham","given":"Seyyedmajid"},{"family":"Silva","given":"João Vasco"},{"family":"Adjei-Nsiah","given":"Samuel"},{"family":"Baijukya","given":"Frederick P."},{"family":"Bala","given":"Abdullahi"},{"family":"Chikowo","given":"Regis"},{"family":"Grassini","given":"Patricio"},{"family":"Groot","given":"Hugo L.E.","non-dropping-particle":"de"},{"family":"Nshizirungu","given":"Aphrodis"},{"family":"Mahamane Soulé","given":"Abdelkader"},{"family":"Sulser","given":"Timothy B."},{"family":"Taulya","given":"Godfrey"},{"family":"Amor Tenorio","given":"Fatima"},{"family":"Tesfaye","given":"Kindie"},{"family":"Yuan","given":"Shen"},{"family":"Loon","given":"Marloes P.","non-dropping-particle":"van"}],"issued":{"date-parts":[["2025",6,17]]},"citation-key":"vanittersumProspectsCerealSelfsufficiency2025"}}],"schema":"https://github.com/citation-style-language/schema/raw/master/csl-citation.json"} </w:instrText>
      </w:r>
      <w:r w:rsidR="004A0C1C" w:rsidRPr="00A23579">
        <w:rPr>
          <w:rFonts w:cs="Calibri"/>
        </w:rPr>
        <w:fldChar w:fldCharType="separate"/>
      </w:r>
      <w:r w:rsidR="004A0C1C" w:rsidRPr="00A23579">
        <w:rPr>
          <w:rFonts w:cs="Calibri"/>
        </w:rPr>
        <w:t>(van Ittersum et al., 2025)</w:t>
      </w:r>
      <w:r w:rsidR="004A0C1C" w:rsidRPr="00A23579">
        <w:rPr>
          <w:rFonts w:cs="Calibri"/>
        </w:rPr>
        <w:fldChar w:fldCharType="end"/>
      </w:r>
      <w:r w:rsidR="004A0C1C" w:rsidRPr="00A23579">
        <w:t>.</w:t>
      </w:r>
      <w:r w:rsidR="007665EC" w:rsidRPr="00A23579">
        <w:t xml:space="preserve"> The demand must be met on ecological and environmental gr</w:t>
      </w:r>
      <w:r w:rsidR="007665EC" w:rsidRPr="007665EC">
        <w:t>ounds without further expansion of agricultural land at the expense of biodiversity loss and associated greenhouse gas emissions. Fortunately, evidence shows that there is sufficient yield potential in the region's main crops to increase production on existing cr</w:t>
      </w:r>
      <w:r w:rsidR="007665EC" w:rsidRPr="00A23579">
        <w:t xml:space="preserve">opland </w:t>
      </w:r>
      <w:r w:rsidR="007665EC" w:rsidRPr="00A23579">
        <w:fldChar w:fldCharType="begin"/>
      </w:r>
      <w:r w:rsidR="007665EC" w:rsidRPr="00A23579">
        <w:instrText xml:space="preserve"> ADDIN ZOTERO_ITEM CSL_CITATION {"citationID":"ttAyprd6","properties":{"formattedCitation":"(Guilpart et al., 2017)","plainCitation":"(Guilpart et al., 2017)","noteIndex":0},"citationItems":[{"id":1803,"uris":["http://zotero.org/groups/5881550/items/HJRPN72V"],"itemData":{"id":1803,"type":"article-journal","abstract":"There is a persistent narrative about the potential of Sub-Saharan Africa (SSA) to be a ‘grain breadbasket’ because of large gaps between current low yields and yield potential with good management, and vast land resources with adequate rainfall. However, rigorous evaluation of the extent to which soils can support high, stable yields has been limited by lack of data on rootable soil depth of sufficient quality and spatial resolution. Here we use location-specific climate data, a robust spatial upscaling approach, and crop simulation to assess sensitivity of rainfed maize yields to root-zone water holding capacity. We find that SSA could produce a modest maize surplus but only if rootable soil depths are comparable to that of other major breadbaskets, such as the US Corn Belt and South American Pampas, which is unlikely based on currently available information. Otherwise, producing surplus grain for export will depend on expansion of crop area with the challenge of directing this expansion to regions where soil depth and rainfall are supportive of high and consistent yields, and where negative impacts on biodiversity are minimal.","container-title":"Environmental Research Letters","DOI":"10.1088/1748-9326/aa9003","ISSN":"1748-9326","issue":"11","journalAbbreviation":"Environ. Res. Lett.","language":"en","note":"publisher: IOP Publishing","page":"114036","source":"Institute of Physics","title":"Rooting for food security in Sub-Saharan Africa","volume":"12","author":[{"family":"Guilpart","given":"Nicolas"},{"family":"Grassini","given":"Patricio"},{"family":"Wart","given":"Justin","non-dropping-particle":"van"},{"family":"Yang","given":"Haishun"},{"family":"Ittersum","given":"Martin K","non-dropping-particle":"van"},{"family":"Bussel","given":"Lenny G J","non-dropping-particle":"van"},{"family":"Wolf","given":"Joost"},{"family":"Claessens","given":"Lieven"},{"family":"Leenaars","given":"Johan G B"},{"family":"Cassman","given":"Kenneth G"}],"issued":{"date-parts":[["2017",11]]},"citation-key":"guilpartRootingFoodSecurity2017"}}],"schema":"https://github.com/citation-style-language/schema/raw/master/csl-citation.json"} </w:instrText>
      </w:r>
      <w:r w:rsidR="007665EC" w:rsidRPr="00A23579">
        <w:fldChar w:fldCharType="separate"/>
      </w:r>
      <w:r w:rsidR="007665EC" w:rsidRPr="00A23579">
        <w:rPr>
          <w:rFonts w:cs="Calibri"/>
        </w:rPr>
        <w:t>(Guilpart et al., 2017)</w:t>
      </w:r>
      <w:r w:rsidR="007665EC" w:rsidRPr="00A23579">
        <w:fldChar w:fldCharType="end"/>
      </w:r>
      <w:r w:rsidR="007665EC" w:rsidRPr="00A23579">
        <w:t xml:space="preserve">. </w:t>
      </w:r>
    </w:p>
    <w:p w14:paraId="518D6D1F" w14:textId="1E83285D" w:rsidR="00AD2183" w:rsidRDefault="007665EC" w:rsidP="004A0C1C">
      <w:r w:rsidRPr="007665EC">
        <w:t xml:space="preserve">Maize is a major staple crop in </w:t>
      </w:r>
      <w:r w:rsidR="00357FD0">
        <w:t>SSA</w:t>
      </w:r>
      <w:r w:rsidRPr="007665EC">
        <w:t>, and recent evidence suggests that with the adoption of improved agronomic management, maize yields could double, achieving near self-sufficiency by 2050. However, this will not be possible if the current yield trend</w:t>
      </w:r>
      <w:r w:rsidR="00AD2183">
        <w:t>s are</w:t>
      </w:r>
      <w:r w:rsidRPr="007665EC">
        <w:t xml:space="preserve"> not accelerated</w:t>
      </w:r>
      <w:r>
        <w:t xml:space="preserve"> </w:t>
      </w:r>
      <w:r>
        <w:fldChar w:fldCharType="begin"/>
      </w:r>
      <w:r>
        <w:instrText xml:space="preserve"> ADDIN ZOTERO_ITEM CSL_CITATION {"citationID":"pwDgVaci","properties":{"formattedCitation":"(Aramburu-Merlos et al., 2024)","plainCitation":"(Aramburu-Merlos et al., 2024)","noteIndex":0},"citationItems":[{"id":1795,"uris":["http://zotero.org/groups/5881550/items/WD3G4S3B"],"itemData":{"id":1795,"type":"article-journal","abstract":"Maize demand in Sub-Saharan Africa is expected to increase 2.3 times during the next 30 years driven by demographic and dietary changes. Over the past two decades, the area cropped with maize has expanded by 17 million hectares in the region, with limited yield increase. Following this trend could potentially result in further maize cropland expansion and the need for imports to satisfy domestic demand. Here, we use data collected from 14,773 smallholder fields in the region to identify agronomic practices that can improve farm yield gains. We find that agronomic practices related to cultivar selection, and nutrient, pest, and crop management can double on-farm yields and provide an additional 82 million tons of maize within current cropped area. Research and development investments should be oriented towards agricultural practices with proven capacity to raise maize yields in the region.","container-title":"Nature Communications","DOI":"10.1038/s41467-024-48859-0","ISSN":"2041-1723","issue":"1","journalAbbreviation":"Nat Commun","language":"en","license":"2024 The Author(s)","note":"publisher: Nature Publishing Group","page":"4492","source":"www.nature.com","title":"Adopting yield-improving practices to meet maize demand in Sub-Saharan Africa without cropland expansion","volume":"15","author":[{"family":"Aramburu-Merlos","given":"Fernando"},{"family":"Tenorio","given":"Fatima A. M."},{"family":"Mashingaidze","given":"Nester"},{"family":"Sananka","given":"Alex"},{"family":"Aston","given":"Stephen"},{"family":"Ojeda","given":"Jonathan J."},{"family":"Grassini","given":"Patricio"}],"issued":{"date-parts":[["2024",5,27]]},"citation-key":"aramburu-merlosAdoptingYieldimprovingPractices2024"}}],"schema":"https://github.com/citation-style-language/schema/raw/master/csl-citation.json"} </w:instrText>
      </w:r>
      <w:r>
        <w:fldChar w:fldCharType="separate"/>
      </w:r>
      <w:r w:rsidRPr="007665EC">
        <w:rPr>
          <w:rFonts w:cs="Calibri"/>
        </w:rPr>
        <w:t>(Aramburu-Merlos et al., 2024)</w:t>
      </w:r>
      <w:r>
        <w:fldChar w:fldCharType="end"/>
      </w:r>
      <w:r w:rsidRPr="007665EC">
        <w:t>.</w:t>
      </w:r>
      <w:r w:rsidR="001B52B7">
        <w:t xml:space="preserve"> </w:t>
      </w:r>
      <w:r w:rsidR="00AD2183" w:rsidRPr="00AD2183">
        <w:t>One promising approach to achieve this intensification is the diversification of maize production systems through legume rotations or intercrops—a</w:t>
      </w:r>
      <w:r w:rsidR="00C30EAC">
        <w:t>n affordable</w:t>
      </w:r>
      <w:r w:rsidR="00AD2183" w:rsidRPr="00AD2183">
        <w:t xml:space="preserve"> strategy</w:t>
      </w:r>
      <w:r w:rsidR="00C30EAC">
        <w:t xml:space="preserve"> for resource-poor smallholders</w:t>
      </w:r>
      <w:r w:rsidR="00AD2183" w:rsidRPr="00AD2183">
        <w:t xml:space="preserve"> that has received considerable attention from national governments, development organizations, and foundations.</w:t>
      </w:r>
      <w:r w:rsidR="00AD2183">
        <w:t xml:space="preserve"> </w:t>
      </w:r>
      <w:r w:rsidR="001B52B7" w:rsidRPr="00A23579">
        <w:t xml:space="preserve">Integration of legumes into maize production systems has been shown to significantly increase yields </w:t>
      </w:r>
      <w:r w:rsidR="001B52B7" w:rsidRPr="00A23579">
        <w:fldChar w:fldCharType="begin"/>
      </w:r>
      <w:r w:rsidR="005D24F5">
        <w:instrText xml:space="preserve"> ADDIN ZOTERO_ITEM CSL_CITATION {"citationID":"j2z5hxal","properties":{"formattedCitation":"(Franke et al., 2018; J. Zhao et al., 2022)","plainCitation":"(Franke et al., 2018; J. Zhao et al., 2022)","noteIndex":0},"citationItems":[{"id":1874,"uris":["http://zotero.org/groups/5881550/items/ZIM6M47L"],"itemData":{"id":1874,"type":"article-journal","abstract":"We conducted a systematic review of literature on the residual effects of grain legumes in cereal-based systems of sub-Saharan Africa (SSA) to quantify the magnitude and variability of rotational effects, to explore the importance of environmental and management factors in determining variability and to evaluate the evidence of the different mechanisms that explain rotational effects. We retrieved 44 unique publications providing 199 observations comparing continuous cereal performance with that of a grain legume-cereal rotation. The overall mean yield increase of 0.49t grainha−1, equal to an increase of 41% of the continuous cereal yield, is highly significant, but the variability in residual effects is large. Effects were more pronounced in southern Africa, the highlands of East Africa and the Guinea savannah, and less in the humid forest/derived savannah of West Africa and the Sudano-Sahelian zone. Maize showed stronger yield responses after a legume than millet and sorghum. Agro-ecological zone and cereal type were however confounded. All grain legume types significantly improved cereal yields, with stronger residual effects observed after soybean and groundnut than after cowpea. Fertiliser N application to cereals reduces the residual effects of legumes, but the response at 60–120kgNha−1 still equalled 0.32tha−1 or 59% of the response when no N is applied. The sustained benefits with large N applications indicate the importance of non-N effects. While mechanisms for improved soil P availability after grain legumes have been studied in some detail, it remains uncertain how important these are in farmers’ fields. Grain legumes are unlikely to have a major influence on the availability of nutrients other than N and P, or on soil pH. Beneficial impacts of grain legumes on soil organic matter content can occur if legumes contribute to a greater overall cropping productivity, but studies generally report no such impacts. Evidence of impacts of grain legumes on weeds is limited to striga. Studies on the impacts on nematode pressure in cereals are inconclusive, probably because legumes act as a host for some of the key nematode genera that harm maize. The impact on the pressure of other pests and diseases in cereals is probably important, but evidence on this from SSA is lacking. Future research on N2-fixation by grain legumes and residual N benefits should focus on explaining the wide variability observed among sites. There is a clear need for more detailed mechanistic studies to assess the occurrence and relevance of non-N effects of grain legumes, particularly in relation to common pests and diseases in cereals.","container-title":"Agriculture, Ecosystems &amp; Environment","DOI":"10.1016/j.agee.2017.09.029","ISSN":"0167-8809","journalAbbreviation":"Agriculture, Ecosystems &amp; Environment","page":"172-185","source":"ScienceDirect","title":"Sustainable intensification through rotations with grain legumes in Sub-Saharan Africa: A review","title-short":"Sustainable intensification through rotations with grain legumes in Sub-Saharan Africa","volume":"261","author":[{"family":"Franke","given":"A. C."},{"family":"Brand","given":"G. J.","non-dropping-particle":"van den"},{"family":"Vanlauwe","given":"B."},{"family":"Giller","given":"K. E."}],"issued":{"date-parts":[["2018",7,1]]},"citation-key":"frankeSustainableIntensificationRotations2018"}},{"id":1879,"uris":["http://zotero.org/groups/5881550/items/A7FCTVEZ"],"itemData":{"id":1879,"type":"article-journal","abstract":"Diversified cropping systems, especially those including legumes, have been proposed to enhance food production with reduced inputs and environmental impacts. However, the impact of legume pre-crops on main crop yield and its drivers has never been systematically investigated in a global context. Here, we synthesize 11,768 yield observations from 462 field experiments comparing legume-based and non-legume cropping systems and show that legumes enhanced main crop yield by 20%. These yield advantages decline with increasing N fertilizer rates and crop diversity of the main cropping system. The yield benefits are consistent among main crops (e.g., rice, wheat, maize) and evident across pedo-climatic regions. Moreover, greater yield advantages (32% vs. 7%) are observed in low- vs. high-yielding environments, suggesting legumes increase crop production with low inputs (e.g., in Africa or organic agriculture). In conclusion, our study suggests that legume-based rotations offer a critical pathway for enhancing global crop production, especially when integrated into low-input and low-diversity agricultural systems.","container-title":"Nature Communications","DOI":"10.1038/s41467-022-32464-0","ISSN":"2041-1723","issue":"1","journalAbbreviation":"Nat Commun","language":"en","license":"2022 The Author(s)","note":"publisher: Nature Publishing Group","page":"4926","source":"www.nature.com","title":"Global systematic review with meta-analysis reveals yield advantage of legume-based rotations and its drivers","volume":"13","author":[{"family":"Zhao","given":"Jie"},{"family":"Chen","given":"Ji"},{"family":"Beillouin","given":"Damien"},{"family":"Lambers","given":"Hans"},{"family":"Yang","given":"Yadong"},{"family":"Smith","given":"Pete"},{"family":"Zeng","given":"Zhaohai"},{"family":"Olesen","given":"Jørgen E."},{"family":"Zang","given":"Huadong"}],"issued":{"date-parts":[["2022",8,22]]},"citation-key":"zhaoGlobalSystematicReview2022"}}],"schema":"https://github.com/citation-style-language/schema/raw/master/csl-citation.json"} </w:instrText>
      </w:r>
      <w:r w:rsidR="001B52B7" w:rsidRPr="00A23579">
        <w:fldChar w:fldCharType="separate"/>
      </w:r>
      <w:r w:rsidR="005D24F5" w:rsidRPr="005D24F5">
        <w:t>(Franke et al., 2018; J. Zhao et al., 2022)</w:t>
      </w:r>
      <w:r w:rsidR="001B52B7" w:rsidRPr="00A23579">
        <w:fldChar w:fldCharType="end"/>
      </w:r>
      <w:r w:rsidR="001B52B7" w:rsidRPr="00A23579">
        <w:t xml:space="preserve"> and promote soil health and fertility </w:t>
      </w:r>
      <w:r w:rsidR="001B52B7" w:rsidRPr="00A23579">
        <w:fldChar w:fldCharType="begin"/>
      </w:r>
      <w:r w:rsidR="00D6783F">
        <w:instrText xml:space="preserve"> ADDIN ZOTERO_ITEM CSL_CITATION {"citationID":"mT847ire","properties":{"formattedCitation":"(Chamkhi et al., 2022; Fuchs et al., 2024; Smith et al., 2016)","plainCitation":"(Chamkhi et al., 2022; Fuchs et al., 2024; Smith et al., 2016)","noteIndex":0},"citationItems":[{"id":1892,"uris":["http://zotero.org/groups/5881550/items/I8XAFFG2"],"itemData":{"id":1892,"type":"article-journal","abstract":"Intercropping is an adapted farming system to optimize resource-use efficiency and crop yield, particularly in low input agricultural systems. Due to the beneficial eco-agricultural effects of grain legumes, their integration in mixed cropping systems such as intercropping systems can be more beneficial to soil fertility, soil functioning, and nutrient cycling. About 16–22% of the world’s food is provided by cropping systems. On smallholder farms in Eastern and Southern Africa, the integration of legumes has the potential to increase maize (Zea mays) production up to 35% (e.g., Maize-pigeon pea (Cajanus cajan) intercropping). Legume-based intercropping systems can also promote rhizobacterial community diversity and soil health by enhancing symbiotic and non-symbiotic beneficial population. In the rhizosphere, the bacterial community is required to improve the growth and health of both intercrops due to several “direct and indirect” mechanisms involving plant growth-promoting rhizobacteria (PGPR). This review aims to highlight the importance of both legume-based intercropping and root-associated microorganisms particular emphasis on rhizobacteria; since the whole “crop-crop-microorganism” system has the potential to improve crop agro-physiological performance. This study also discusses the key role of legumes as intercrops being fully synergistic with PGPR contributing to crop yield stability under stressful conditions, notably drought and nutrient deficiency. Thus, intercropping can be used as an agroecological practice to ensure the sustainability of production.","container-title":"Industrial Crops and Products","DOI":"10.1016/j.indcrop.2022.114958","ISSN":"0926-6690","journalAbbreviation":"Industrial Crops and Products","page":"114958","source":"ScienceDirect","title":"Legume-based intercropping systems promote beneficial rhizobacterial community and crop yield under stressing conditions","volume":"183","author":[{"family":"Chamkhi","given":"Imane"},{"family":"Cheto","given":"Said"},{"family":"Geistlinger","given":"Joerg"},{"family":"Zeroual","given":"Youssef"},{"family":"Kouisni","given":"Lamfeddal"},{"family":"Bargaz","given":"Adnane"},{"family":"Ghoulam","given":"Cherki"}],"issued":{"date-parts":[["2022",9,1]]},"citation-key":"chamkhiLegumebasedIntercroppingSystems2022"}},{"id":1910,"uris":["http://zotero.org/groups/5881550/items/Y7EK6SPL"],"itemData":{"id":1910,"type":"article-journal","abstract":"Food, feed, and fiber production needs to increase to support demands of the growing population in Sub-Saharan Africa (SSA), while soil fertility continues to decline. Intercropping, the cultivation of two or more crop species on the same field, can provide yield benefits and is suggested to positively affect soil organic carbon (C) and nitrogen (N) stocks. This study uses the biogeochemical model system LandscapeDNDC with the objective to (a) represent maize-legume intercropping systems in different bioregions in SSA by simultaneously simulating both crops and their interactions and (b) assess long-term (20 years) impacts of intercropping under varying mineral fertilizer inputs (0–150 kg N ha−1 yr−1) on productivity as well as soil organic C and N stocks. We test LandscapeDNDC on 82 field data sets (site-year-treatment combinations) from 18 sites to represent yields and soil C/N dynamics of maize-legume intercropping systems. Using the model for long-term scenario simulations showed that intercropping allows to sustain productivity and to improve or maintain SOC stock in low or zero fertilizer systems if all residues are returned to the soil. In contrast, for sole-cropped maize systems, a decline in SOC stocks was simulated unless a minimum of 35 kg N ha−1 yr−1 of fertilizer was applied at full residue return. We conclude that intercropping using legumes alongside sufficient residue return allows for stabilizing long-term yields while avoiding SOC losses even with low fertilizer N inputs. Overall, our study confirms the potential of intercropping as a sustainable agricultural practice that could significantly contribute to food security in SSA.","container-title":"Global Biogeochemical Cycles","DOI":"10.1029/2024GB008159","ISSN":"1944-9224","issue":"10","language":"en","license":"© 2024 The Author(s).","note":"_eprint: https://agupubs.onlinelibrary.wiley.com/doi/pdf/10.1029/2024GB008159","page":"e2024GB008159","source":"Wiley Online Library","title":"Intercropping Legumes Improves Long Term Productivity and Soil Carbon and Nitrogen Stocks in Sub-Saharan Africa","volume":"38","author":[{"family":"Fuchs","given":"Kathrin"},{"family":"Kraus","given":"David"},{"family":"Houska","given":"Tobias"},{"family":"Kermah","given":"Michael"},{"family":"Haas","given":"Edwin"},{"family":"Kiese","given":"Ralf"},{"family":"Butterbach-Bahl","given":"Klaus"},{"family":"Scheer","given":"Clemens"}],"issued":{"date-parts":[["2024"]]},"citation-key":"fuchsIntercroppingLegumesImproves2024"}},{"id":1895,"uris":["http://zotero.org/groups/5881550/items/CKTWWPZV"],"itemData":{"id":1895,"type":"article-journal","abstract":"Smallholder farmers in Malawi must cope with small farm size, low soil fertility and production risks associated with rainfed agriculture. Integration of legumes into maize-based cropping systems is advocated as a means to increase production of diverse nutrient-dense grains and improve soil fertility. It is difficult to achieve both aims simultaneously, however. Short-duration grain legumes rarely produce enough biomass to appreciatively improve soils, and long duration pigeonpea, commonly grown in Malawi as a dual purpose crop, produces little or no edible grain as a consequence of grain-filling into the dry season. A novel technology is the doubled-up legume rotation (DLR) system in which two legumes with complementary phenology are intercropped and grown in rotation with maize. Initial performance from on-farm research is favorable; however, it is crucial to understand competition for resources in mixed cropping systems under variable soil and climate conditions. We used soil and crop yield data from farmer participatory trials to parameterize the Agricultural Production Systems Simulator (APSIM) and evaluate its performance in simulating observed treatments at three locations in central Malawi. We used the calibrated APSIM model to investigate the performance of DLR and other maize-based systems across 26 growing seasons (1979–2005) in the three agroecologies. We simulated two DLR systems (maize rotated with a groundnut/pigeonpea or soybean/pigeonpea intercrop), maize rotated with groundnut or soybean, maize intercropped with pigeonpea, and continuous maize under a range of N fertilizer inputs. We extended findings to the household level by determining calorie and protein yields of these systems, and calculating the chance that an average household could meet their food requirements by dedicating all available farmland to a given system. Simulated maize grain yields in DLR and maize-grain legume rotations were essentially equivalent, and exceeded yields in maize/pigeonpea intercrop and sole cropped maize receiving comparable fertility inputs. All rotation systems were more likely to meet household calorie and protein needs than other systems receiving equivalent inputs. DLR systems accumulated higher total soil C and N over time than traditional rotation systems in areas where pigeonpea performed well. However, the effects of improved soil fertility on maize yields were counterbalanced by factors including N immobilization and water availability. We conclude that where growing conditions allow, DLR can harness the complementary phenology of pigeonpea to build soil quality for the future without reducing maize yields or compromising household food production in the immediate term.","container-title":"Agricultural Systems","DOI":"10.1016/j.agsy.2016.03.008","ISSN":"0308-521X","journalAbbreviation":"Agricultural Systems","page":"139-149","source":"ScienceDirect","title":"Doubled-up legume rotations improve soil fertility and maintain productivity under variable conditions in maize-based cropping systems in Malawi","volume":"145","author":[{"family":"Smith","given":"Alex"},{"family":"Snapp","given":"Sieglinde"},{"family":"Dimes","given":"John"},{"family":"Gwenambira","given":"Chiwimbo"},{"family":"Chikowo","given":"Regis"}],"issued":{"date-parts":[["2016",6,1]]},"citation-key":"smithDoubledupLegumeRotations2016a"}}],"schema":"https://github.com/citation-style-language/schema/raw/master/csl-citation.json"} </w:instrText>
      </w:r>
      <w:r w:rsidR="001B52B7" w:rsidRPr="00A23579">
        <w:fldChar w:fldCharType="separate"/>
      </w:r>
      <w:r w:rsidR="00D6783F" w:rsidRPr="00D6783F">
        <w:t>(Chamkhi et al., 2022; Fuchs et al., 2024; Smith et al., 2016)</w:t>
      </w:r>
      <w:r w:rsidR="001B52B7" w:rsidRPr="00A23579">
        <w:fldChar w:fldCharType="end"/>
      </w:r>
      <w:r w:rsidR="001B52B7" w:rsidRPr="00A23579">
        <w:t xml:space="preserve">. </w:t>
      </w:r>
      <w:r w:rsidR="00CD1B48" w:rsidRPr="00CD1B48">
        <w:t xml:space="preserve">Evidence from agronomic and ecological </w:t>
      </w:r>
      <w:r w:rsidR="00CD1B48" w:rsidRPr="00CD1B48">
        <w:lastRenderedPageBreak/>
        <w:t>research demonstrates that legume diversification contributes to the ecological and sustainable intensification of maize production.</w:t>
      </w:r>
    </w:p>
    <w:p w14:paraId="177A6E50" w14:textId="02A3CFD3" w:rsidR="0090386F" w:rsidRDefault="006F092B" w:rsidP="004A0C1C">
      <w:r>
        <w:t>Legume-based intensification can enhance crop diversity, and d</w:t>
      </w:r>
      <w:r w:rsidR="00822D6B">
        <w:t xml:space="preserve">iversified agricultural production </w:t>
      </w:r>
      <w:r w:rsidR="005D07C1">
        <w:t>is</w:t>
      </w:r>
      <w:r w:rsidR="0002422F">
        <w:t xml:space="preserve"> associated</w:t>
      </w:r>
      <w:r>
        <w:t xml:space="preserve"> with better</w:t>
      </w:r>
      <w:r w:rsidR="00822D6B">
        <w:t xml:space="preserve"> household dietary diversity </w:t>
      </w:r>
      <w:r w:rsidR="00822D6B">
        <w:fldChar w:fldCharType="begin"/>
      </w:r>
      <w:r w:rsidR="00822D6B">
        <w:instrText xml:space="preserve"> ADDIN ZOTERO_ITEM CSL_CITATION {"citationID":"sG1vKeNn","properties":{"formattedCitation":"(Sariyev et al., 2021; Sibhatu &amp; Qaim, 2018)","plainCitation":"(Sariyev et al., 2021; Sibhatu &amp; Qaim, 2018)","noteIndex":0},"citationItems":[{"id":664,"uris":["http://zotero.org/users/9412238/items/X8QPNFUC"],"itemData":{"id":664,"type":"article-journal","abstract":"Considering that rural poor are mostly subsistence farmers, it seems plausible that production diversity could lead to better nutrition for these farmers. The association between production and dietary diversity is complex, and this complexity demands rigorous empirical analyses and more attention to gendered aspects of intra-household decision-making. We employ panel data analyses of 363 Ethiopian smallholders surveyed in 2014 and 2016 to test for this phenomenon, and to explore the association of women’s participation in decision-making with both production and consumption diversity. Results show that, diversification can be a strategy to improve the diets, but only of rural poor who have limited non-farm income, who are distant to the markets and mostly subsistence oriented. Moreover, female participation in decision-making associates with higher diversity both in terms of production and consumption, but it does not modify the magnitude of the association between production and dietary diversity. Our analyses contribute to the enriching literature on the linkage between production diversification and dietary diversity. We study this complex relationship in-depth and show that the gendered aspect of intra-household decision-making is an important covariate for both production diversity and dietary quality.","container-title":"Food Security","DOI":"10.1007/s12571-020-01098-9","ISSN":"1876-4525","issue":"1","journalAbbreviation":"Food Sec.","language":"en","license":"All rights reserved","page":"181-197","source":"Springer Link","title":"Intra-household decision-making, production diversity, and dietary quality: a panel data analysis of Ethiopian rural households","title-short":"Intra-household decision-making, production diversity, and dietary quality","volume":"13","author":[{"family":"Sariyev","given":"Orkhan"},{"family":"Loos","given":"Tim K."},{"family":"Khor","given":"Ling Yee"}],"issued":{"date-parts":[["2021",2,1]]},"citation-key":"sariyevIntrahouseholdDecisionmakingProduction2021"}},{"id":2030,"uris":["http://zotero.org/groups/5881550/items/UGKTYBYW"],"itemData":{"id":2030,"type":"article-journal","container-title":"Food Policy","DOI":"10.1016/j.foodpol.2018.04.013","ISSN":"03069192","journalAbbreviation":"Food Policy","language":"en","page":"1-18","source":"DOI.org (Crossref)","title":"Review: Meta-analysis of the association between production diversity, diets, and nutrition in smallholder farm households","title-short":"Review","volume":"77","author":[{"family":"Sibhatu","given":"Kibrom T."},{"family":"Qaim","given":"Matin"}],"issued":{"date-parts":[["2018",5]]},"citation-key":"sibhatuReviewMetaanalysisAssociation2018"}}],"schema":"https://github.com/citation-style-language/schema/raw/master/csl-citation.json"} </w:instrText>
      </w:r>
      <w:r w:rsidR="00822D6B">
        <w:fldChar w:fldCharType="separate"/>
      </w:r>
      <w:r w:rsidR="00822D6B" w:rsidRPr="00822D6B">
        <w:t>(Sariyev et al., 2021; Sibhatu &amp; Qaim, 2018)</w:t>
      </w:r>
      <w:r w:rsidR="00822D6B">
        <w:fldChar w:fldCharType="end"/>
      </w:r>
      <w:r w:rsidR="00822D6B">
        <w:t>.</w:t>
      </w:r>
      <w:r w:rsidR="00CE7F14">
        <w:t xml:space="preserve"> </w:t>
      </w:r>
      <w:r w:rsidR="00AD2183" w:rsidRPr="00AD2183">
        <w:t>Despite documented</w:t>
      </w:r>
      <w:r w:rsidR="00822D6B">
        <w:t xml:space="preserve"> agronomic</w:t>
      </w:r>
      <w:r w:rsidR="00AD2183" w:rsidRPr="00AD2183">
        <w:t xml:space="preserve"> benefits</w:t>
      </w:r>
      <w:r w:rsidR="00CD1B48" w:rsidRPr="00CD1B48">
        <w:t xml:space="preserve">, studies examining the </w:t>
      </w:r>
      <w:r w:rsidR="00AD2183">
        <w:t>dietary</w:t>
      </w:r>
      <w:r w:rsidR="00CD1B48" w:rsidRPr="00CD1B48">
        <w:t xml:space="preserve"> benefits of legume diversification in maize production remain limited</w:t>
      </w:r>
      <w:r w:rsidR="005D24F5">
        <w:t xml:space="preserve"> </w:t>
      </w:r>
      <w:r w:rsidR="005D24F5">
        <w:fldChar w:fldCharType="begin"/>
      </w:r>
      <w:r w:rsidR="005D24F5">
        <w:instrText xml:space="preserve"> ADDIN ZOTERO_ITEM CSL_CITATION {"citationID":"Sv8g5bw9","properties":{"formattedCitation":"(Y. Zhao et al., 2024)","plainCitation":"(Y. Zhao et al., 2024)","noteIndex":0},"citationItems":[{"id":1916,"uris":["http://zotero.org/groups/5881550/items/LF2XEAVE"],"itemData":{"id":1916,"type":"article-journal","container-title":"Journal of Cleaner Production","DOI":"10.1016/j.jclepro.2023.140150","ISSN":"09596526","journalAbbreviation":"Journal of Cleaner Production","language":"en","page":"140150","source":"DOI.org (Crossref)","title":"How maize-legume intercropping and rotation contribute to food security and environmental sustainability","volume":"434","author":[{"family":"Zhao","given":"Yilin"},{"family":"Guo","given":"Songhao"},{"family":"Zhu","given":"Xueqin"},{"family":"Zhang","given":"Lei"},{"family":"Long","given":"Yan"},{"family":"Wan","given":"Xiangyuan"},{"family":"Wei","given":"Xun"}],"issued":{"date-parts":[["2024",1]]},"citation-key":"zhaoHowMaizelegumeIntercropping2024"}}],"schema":"https://github.com/citation-style-language/schema/raw/master/csl-citation.json"} </w:instrText>
      </w:r>
      <w:r w:rsidR="005D24F5">
        <w:fldChar w:fldCharType="separate"/>
      </w:r>
      <w:r w:rsidR="005D24F5" w:rsidRPr="005D24F5">
        <w:t>(Y. Zhao et al., 2024)</w:t>
      </w:r>
      <w:r w:rsidR="005D24F5">
        <w:fldChar w:fldCharType="end"/>
      </w:r>
      <w:r w:rsidR="00CD1B48">
        <w:t>.</w:t>
      </w:r>
      <w:r w:rsidR="00AD48B2">
        <w:t xml:space="preserve"> </w:t>
      </w:r>
      <w:r w:rsidR="00AD2183" w:rsidRPr="00AD2183">
        <w:t>Most existing research consists of on-farm trials demonstrating increased protein yields at the cropping system level</w:t>
      </w:r>
      <w:r w:rsidR="00287DEE">
        <w:t xml:space="preserve"> </w:t>
      </w:r>
      <w:r w:rsidR="00287DEE">
        <w:fldChar w:fldCharType="begin"/>
      </w:r>
      <w:r w:rsidR="00287DEE">
        <w:instrText xml:space="preserve"> ADDIN ZOTERO_ITEM CSL_CITATION {"citationID":"G4veEQ4w","properties":{"formattedCitation":"(Muoni et al., 2024; Nyagumbo et al., 2025; Nyamayevu et al., 2024, 2025; Thierfelder et al., 2024)","plainCitation":"(Muoni et al., 2024; Nyagumbo et al., 2025; Nyamayevu et al., 2024, 2025; Thierfelder et al., 2024)","noteIndex":0},"citationItems":[{"id":1933,"uris":["http://zotero.org/groups/5881550/items/WLYX3N2S"],"itemData":{"id":1933,"type":"article-journal","abstract":"Abstract\n            \n              Malawi smallholder farmers are facing climate-induced challenges that have increased food and nutrition insecurity in the country, thus sustainable intensification practices has been widely recommended. The objective of this study was to assess the effects of cropping systems with improved varieties on total system productivity and nutrition under different environments. The study involved on-farm experiments in ten communities in Central and Southern Malawi, incrementally established from 2005/2006 to 2018/2019 cropping seasons. Each community had six demonstration plots with three main treatments: conventional ploughing (CP): sole maize grown on seasonally constructed ridges and furrows; no-tillage (NT): sole maize grown on retained ridges with minimum soil disturbance and residue retained; and Conservation agriculture (CA): maize intercropped either cowpea, pigeon pea or groundnut on retained ridges as in NT. Our results show that total system nutrition was higher in CA treatments than NT and CP. The yields of maize were at least 800 kg ha\n              −1\n              higher in CA and NT than CP despite the variety that was grown. Legume yields were also higher under CA and NT than CP. High protein yield was observed in CA systems (at least 100 kg ha\n              −1\n              higher than CP) where maize and legume intercrops were rotated with grain legumes. Our results show nutrients and energy gains in CA and NT systems that can be invested in practices that increases the resilience of smallholder farmers to climate change. Conservation agriculture and NT systems have more influence on productivity of smallholder farms, despite the genotypes used (hybrids or OPVs).","container-title":"Food Security","DOI":"10.1007/s12571-024-01479-4","ISSN":"1876-4517, 1876-4525","issue":"5","journalAbbreviation":"Food Sec.","language":"en","page":"1067-1080","source":"DOI.org (Crossref)","title":"Management of maize-legume conservation agriculture systems rather than varietal choice fosters human nutrition in Malawi","volume":"16","author":[{"family":"Muoni","given":"Tarirai"},{"family":"Mhlanga","given":"Blessing"},{"family":"Öborn","given":"Ingrid"},{"family":"Thierfelder","given":"Christian"}],"issued":{"date-parts":[["2024",10]]},"citation-key":"muoniManagementMaizelegumeConservation2024"},"label":"page"},{"id":1931,"uris":["http://zotero.org/groups/5881550/items/E33QTZZN"],"itemData":{"id":1931,"type":"article-journal","container-title":"Food Security","DOI":"10.1007/s12571-025-01556-2","ISSN":"1876-4517, 1876-4525","journalAbbreviation":"Food Sec.","language":"en","source":"DOI.org (Crossref)","title":"Food and nutrition security merits of intercropping maize, sorghum and millet with legumes on small farms in Southern Africa","URL":"https://link.springer.com/10.1007/s12571-025-01556-2","author":[{"family":"Nyagumbo","given":"Isaiah"},{"family":"Nyamayevu","given":"Donald"},{"family":"Silva","given":"João Vasco"}],"accessed":{"date-parts":[["2025",9,4]]},"issued":{"date-parts":[["2025",6,12]]},"citation-key":"nyagumboFoodNutritionSecurity2025"},"label":"page"},{"id":1932,"uris":["http://zotero.org/groups/5881550/items/R68CVXV2"],"itemData":{"id":1932,"type":"article-journal","container-title":"Field Crops Research","DOI":"10.1016/j.fcr.2024.109565","ISSN":"03784290","journalAbbreviation":"Field Crops Research","language":"en","page":"109565","source":"DOI.org (Crossref)","title":"Grain and nutritional yield merits of sustainable intensification through maize-legume rotations in land constrained smallholder farms of Malawi","volume":"318","author":[{"family":"Nyamayevu","given":"Donald"},{"family":"Nyagumbo","given":"Isaiah"},{"family":"Liang","given":"Wei-li"},{"family":"Li","given":"Rui-qi"},{"family":"Silva","given":"João Vasco"}],"issued":{"date-parts":[["2024",11]]},"citation-key":"nyamayevuGrainNutritionalYield2024a"},"label":"page"},{"id":1930,"uris":["http://zotero.org/groups/5881550/items/W8JPUIY5"],"itemData":{"id":1930,"type":"article-journal","abstract":"Summary\n            \n              Conservation agriculture (CA), as a key component of sustainable intensification, has been widely promoted across sub-Saharan Africa (SSA) to address low crop productivity. However, the focus has mainly been on improving cereal grain yields, with less focus to its impact on nutritional outcomes. This study sought to assess the productivity potential of CA crop diversification systems and associated crop establishment techniques in terms of grain, protein, and energy yields. An on-station trial was implemented in Malawi for four cropping seasons (2014/15 to 2017/18). Four crop establishment techniques (ridge and furrow, jab planter, dibble sticks, and CA basins) were tested, while cropping systems included conventional cropping system (Conv), CA sole cropping (CaSole), CA intercropping (CA-intercropping), and CA rotations (CA-rotation). In 2014/15 and 2015/16 cropping seasons, characterised by medium and low rainfall, respectively, planting basins and ridge-furrow systems produced higher maize yields compared to jab planter and dibble stick systems. In 2015/16, big and small basins yielded 5061 and 3969 kg ha\n              –1\n              , while jab planter and dibble stick yielded 3476 and 3213 kg ha\n              –1\n              . When there was high and persistent rainfall (2016/17 and 2017/18), direct seeding (jab planter and dibble stick) outperformed basins and ridge-furrow systems. Therefore, the choice of planting basin sizes and whether or not to use dibble stick and jab planter needs to be guided by location or site-specific seasonal forecasts for best results. Grain yield in maize-legume rotation systems consistently outperformed other systems, with maize-groundnut rotations surpassing maize-cowpea intercrops by 987–2700 kg ha\n              –1\n              over four cropping seasons. In intercropping systems, maize-pigeon pea outperformed maize-cowpea by 4–45% during the same period, while maize-cowpea rotation consistently out yielded maize-cowpea intercropping. Intercropping systems, however, provided substantial protein benefits, with maize-pigeon yielding +9.5% (2015/2016), +29.1% (2016/2017) over CA sole, and +2.2% (2017/2018) over cowpea intercropping. Sole systems (conventional and CA sole) yielded the highest caloric energy, while maize-cowpea rotation consistently reduced energy yield by 35% to 54% compared to the highest-yielding systems. Overall intercropping systems can outperform rotation systems in nutritional security but when focus is on maize grain yield alone, intercropping may reduce maize yield when compared to both cereal sole and maize-legume rotation systems.","container-title":"Experimental Agriculture","DOI":"10.1017/S0014479724000267","ISSN":"0014-4797, 1469-4441","journalAbbreviation":"Ex. Agric.","language":"en","page":"e1","source":"DOI.org (Crossref)","title":"Crop diversification and reduced tillage for improved grain and nutritional yields in rain-fed maize-based cropping systems of semi-arid Malawi","volume":"61","author":[{"family":"Nyamayevu","given":"Donald"},{"family":"Nyagumbo","given":"Isaiah"},{"family":"Chipindu","given":"Lovemore"},{"family":"Li","given":"Rui-qi"},{"family":"Liang","given":"Wei-li"}],"issued":{"date-parts":[["2025"]]},"citation-key":"nyamayevuCropDiversificationReduced2025"},"label":"page"},{"id":1935,"uris":["http://zotero.org/groups/5881550/items/K8W8EE49"],"itemData":{"id":1935,"type":"article-journal","container-title":"Agriculture, Ecosystems &amp; Environment","DOI":"10.1016/j.agee.2023.108819","ISSN":"01678809","journalAbbreviation":"Agriculture, Ecosystems &amp; Environment","language":"en","page":"108819","source":"DOI.org (Crossref)","title":"Two crops are better than one for nutritional and economic outcomes of Zambian smallholder farms, but require more labour","volume":"361","author":[{"family":"Thierfelder","given":"Christian"},{"family":"Mhlanga","given":"Blessing"},{"family":"Nyagumbo","given":"Isaiah"},{"family":"Kalala","given":"Kelvin"},{"family":"Simutowe","given":"Esau"},{"family":"Chiduwa","given":"Mazvita"},{"family":"MacLaren","given":"Chloe"},{"family":"Silva","given":"João Vasco"},{"family":"Ngoma","given":"Hambulo"}],"issued":{"date-parts":[["2024",2]]},"citation-key":"thierfelderTwoCropsAre2024"},"label":"page"}],"schema":"https://github.com/citation-style-language/schema/raw/master/csl-citation.json"} </w:instrText>
      </w:r>
      <w:r w:rsidR="00287DEE">
        <w:fldChar w:fldCharType="separate"/>
      </w:r>
      <w:r w:rsidR="00287DEE" w:rsidRPr="00287DEE">
        <w:t>(Muoni et al., 2024; Nyagumbo et al., 2025; Nyamayevu et al., 2024, 2025; Thierfelder et al., 2024)</w:t>
      </w:r>
      <w:r w:rsidR="00287DEE">
        <w:fldChar w:fldCharType="end"/>
      </w:r>
      <w:r w:rsidR="00AD2183" w:rsidRPr="00AD2183">
        <w:t xml:space="preserve">. Given the agronomic advantages and potential for enhanced nutrition, </w:t>
      </w:r>
      <w:r w:rsidR="006349ED">
        <w:t xml:space="preserve">the intensification of smallholder maize cropping systems through legume-based approaches represents a promising </w:t>
      </w:r>
      <w:r w:rsidR="00AD2183" w:rsidRPr="00AD2183">
        <w:t>strategy for improving food and nutrition security for smallholder farmers.</w:t>
      </w:r>
      <w:r w:rsidR="00CD1B48">
        <w:t xml:space="preserve">  </w:t>
      </w:r>
    </w:p>
    <w:p w14:paraId="44D0B859" w14:textId="62C50036" w:rsidR="00EF1EF7" w:rsidRDefault="006349ED" w:rsidP="00EF1EF7">
      <w:r>
        <w:t>Gender-differentiated labor constraints and household priorities likely shape the scaling of legume-based intensification of maize cropping</w:t>
      </w:r>
      <w:r w:rsidR="00DC7E9A" w:rsidRPr="00DC7E9A">
        <w:t>. Legume integration significantly increases labor requirements in maize production systems</w:t>
      </w:r>
      <w:r w:rsidR="002B4DF6">
        <w:t xml:space="preserve"> </w:t>
      </w:r>
      <w:r w:rsidR="002B4DF6">
        <w:fldChar w:fldCharType="begin"/>
      </w:r>
      <w:r w:rsidR="002B4DF6">
        <w:instrText xml:space="preserve"> ADDIN ZOTERO_ITEM CSL_CITATION {"citationID":"NHmXvFaA","properties":{"formattedCitation":"(Anders et al., 2020; Thierfelder et al., 2024)","plainCitation":"(Anders et al., 2020; Thierfelder et al., 2024)","noteIndex":0},"citationItems":[{"id":1980,"uris":["http://zotero.org/groups/5881550/items/KJZB73QR"],"itemData":{"id":1980,"type":"article-journal","abstract":"Over the last two decades, researchers and farmers have been actively co-developing soil-amelioration technologies in Malawian maize-based smallholder systems, specifically grain-legume technologies (GLT) for the purpose of sustainable intensification. Despite farmers' expressed interest and researchers' technological adaptations to reflect newly discovered on-farm constraints, farmers' adoption of these technologies remains limited, as does researchers' understanding of associated barriers. We investigate Malawian-smallholder farmers' incorporation of co-designed GLT into their maize-based systems after four years of intentional on-farm experimentation, focusing on understanding farmers' (n = 366) continued low levels of integration. We used mixed qualitative and quantitative methods within participatory action research to examine the potential effects of farmers' stated preferences and perceptions of GLT on their adoption choices. We found that farmers' adoption of GLT continues to remain low. Farmers preferred their traditional maize-dominated system to the majority of the studied GLT, for its perceived superiority in meeting farmers' food security and yield needs. Additionally, although GLT were less labor intensive than farmers' traditional maize systems in aggregate, farmers' cropping-system choices prioritized food security needs and were restricted by increased labor demand during time-sensitive labor tasks that have the potential to impact food security by decreasing on-farm maize production, specifically the task of planting. We identify potential entry points for future research that prioritize reducing the planting complexity of GLT in maize-dominated systems.","container-title":"Agricultural Systems","DOI":"10.1016/j.agsy.2020.102879","ISSN":"0308-521X","journalAbbreviation":"Agricultural Systems","page":"102879","source":"ScienceDirect","title":"Limits to grain-legume technology integration by smallholder farmers: The case of time-sensitive labor demands and food security primacy in Malawi","title-short":"Limits to grain-legume technology integration by smallholder farmers","volume":"184","author":[{"family":"Anders","given":"Erin J."},{"family":"Zulu","given":"Leo C."},{"family":"Jambo","given":"Emmanuel R."}],"issued":{"date-parts":[["2020",9,1]]},"citation-key":"andersLimitsGrainlegumeTechnology2020"}},{"id":1935,"uris":["http://zotero.org/groups/5881550/items/K8W8EE49"],"itemData":{"id":1935,"type":"article-journal","container-title":"Agriculture, Ecosystems &amp; Environment","DOI":"10.1016/j.agee.2023.108819","ISSN":"01678809","journalAbbreviation":"Agriculture, Ecosystems &amp; Environment","language":"en","page":"108819","source":"DOI.org (Crossref)","title":"Two crops are better than one for nutritional and economic outcomes of Zambian smallholder farms, but require more labour","volume":"361","author":[{"family":"Thierfelder","given":"Christian"},{"family":"Mhlanga","given":"Blessing"},{"family":"Nyagumbo","given":"Isaiah"},{"family":"Kalala","given":"Kelvin"},{"family":"Simutowe","given":"Esau"},{"family":"Chiduwa","given":"Mazvita"},{"family":"MacLaren","given":"Chloe"},{"family":"Silva","given":"João Vasco"},{"family":"Ngoma","given":"Hambulo"}],"issued":{"date-parts":[["2024",2]]},"citation-key":"thierfelderTwoCropsAre2024"}}],"schema":"https://github.com/citation-style-language/schema/raw/master/csl-citation.json"} </w:instrText>
      </w:r>
      <w:r w:rsidR="002B4DF6">
        <w:fldChar w:fldCharType="separate"/>
      </w:r>
      <w:r w:rsidR="002B4DF6" w:rsidRPr="002B4DF6">
        <w:t>(Anders et al., 2020; Thierfelder et al., 2024)</w:t>
      </w:r>
      <w:r w:rsidR="002B4DF6">
        <w:fldChar w:fldCharType="end"/>
      </w:r>
      <w:r w:rsidR="00DC7E9A">
        <w:t xml:space="preserve">, </w:t>
      </w:r>
      <w:r w:rsidR="00DC7E9A" w:rsidRPr="00DC7E9A">
        <w:t>creating particular disadvantages for female farm managers</w:t>
      </w:r>
      <w:r w:rsidR="00DC7E9A">
        <w:t xml:space="preserve"> who are often </w:t>
      </w:r>
      <w:r w:rsidR="00B12C3E">
        <w:t>labor</w:t>
      </w:r>
      <w:r w:rsidR="00DC7E9A">
        <w:t>-constrained</w:t>
      </w:r>
      <w:r w:rsidR="00503B00">
        <w:t xml:space="preserve"> </w:t>
      </w:r>
      <w:r w:rsidR="00503B00">
        <w:fldChar w:fldCharType="begin"/>
      </w:r>
      <w:r w:rsidR="00503B00">
        <w:instrText xml:space="preserve"> ADDIN ZOTERO_ITEM CSL_CITATION {"citationID":"sCgbJBjQ","properties":{"formattedCitation":"(Snapp et al., 2002)","plainCitation":"(Snapp et al., 2002)","noteIndex":0},"citationItems":[{"id":1989,"uris":["http://zotero.org/groups/5881550/items/UHF5KECX"],"itemData":{"id":1989,"type":"article-journal","abstract":"Sole-cropped, unfertilized maize is the dominant cropping system throughout southern Africa. Yields have become stagnant and legumes are frequently advocated as an affordable option for resource poor farmers, to enhance productivity. Farmer participatory research was employed to test legume intensification as a means to improve maize-based systems in Malawi. A range of options were evaluated, from grain/legume intercrops of long-duration pigeonpea (Cajanus cajan) and groundnut (Arachis hypogaea) rotated with maize (Zea mays), to a relay green manure system of maize with Tephrosia vogelii (Fishbean). Two years of on-farm experimentation indicated that under on-farm conditions legume-intensified systems produced residues that contained about 50kgN/ha per year, two-fold higher than sole-cropped maize residues. Grain yields from legume-intensified systems were comparable to yields from continuous sole maize, even in a dry lakeshore ecology. These preliminary findings were linked to farmer assessment, where farmers participating in the trials expressed strong interest in the technologies. Yet the probability of adoption remains uncertain. Associated surveys outlined constraints and trade-offs underlying technology choice, information that is not usually considered in conjunction with on-farm trials. Although the legumes were highly productive, farmers expressed worries about the marginal loss of maize production. While the trial performance was similar across regions, differences in market condition, farm resources and household composition appears to stimulate different technology choices. Farmers weigh the benefits of weed suppression and potential cash earnings, against the costs of seed, problems of seed access, labor requirements and problems of grain market access and price. Surveyed farmers commonly manage residues by burning. Promotion and experimentation with more efficient use of legume residues may offer higher short-term impacts than efforts to promote adoption of another cash crop. Ultimately, adoption and soil fertility benefits may depend on market returns to legume production. This study documents the value of researchers and farmers partnering in evaluation of technologies, adoption constraints and competing technology choices.","container-title":"Agriculture, Ecosystems &amp; Environment","DOI":"10.1016/S0167-8809(01)00238-9","ISSN":"0167-8809","issue":"1","journalAbbreviation":"Agriculture, Ecosystems &amp; Environment","page":"159-174","source":"ScienceDirect","title":"Sustainable soil management options for Malawi: can smallholder farmers grow more legumes?","title-short":"Sustainable soil management options for Malawi","volume":"91","author":[{"family":"Snapp","given":"S. S."},{"family":"Rohrbach","given":"D. D."},{"family":"Simtowe","given":"F."},{"family":"Freeman","given":"H. A."}],"issued":{"date-parts":[["2002",9,1]]},"citation-key":"snappSustainableSoilManagement2002"}}],"schema":"https://github.com/citation-style-language/schema/raw/master/csl-citation.json"} </w:instrText>
      </w:r>
      <w:r w:rsidR="00503B00">
        <w:fldChar w:fldCharType="separate"/>
      </w:r>
      <w:r w:rsidR="00503B00" w:rsidRPr="00503B00">
        <w:t>(Snapp et al., 2002)</w:t>
      </w:r>
      <w:r w:rsidR="00503B00">
        <w:fldChar w:fldCharType="end"/>
      </w:r>
      <w:r w:rsidR="00503B00" w:rsidRPr="00503B00">
        <w:t xml:space="preserve">. </w:t>
      </w:r>
      <w:r w:rsidR="00503B00">
        <w:t xml:space="preserve">Moreover, </w:t>
      </w:r>
      <w:r w:rsidR="00503B00" w:rsidRPr="00503B00">
        <w:t>women often prioritize immediate food security over long-term soil fertility improvements</w:t>
      </w:r>
      <w:r w:rsidR="002B4DF6">
        <w:t xml:space="preserve"> </w:t>
      </w:r>
      <w:r w:rsidR="002B4DF6">
        <w:fldChar w:fldCharType="begin"/>
      </w:r>
      <w:r w:rsidR="002B4DF6">
        <w:instrText xml:space="preserve"> ADDIN ZOTERO_ITEM CSL_CITATION {"citationID":"hfgHMNzU","properties":{"formattedCitation":"(Snapp &amp; Silim, 2002)","plainCitation":"(Snapp &amp; Silim, 2002)","noteIndex":0},"citationItems":[{"id":1942,"uris":["http://zotero.org/groups/5881550/items/PJM3A7JP"],"itemData":{"id":1942,"type":"article-journal","abstract":"Improved varieties of legumes adapted to nutrient deficiency have the potential to improve food security for the poorest farmers. Tolerant varieties could be an inexpensive and biologically smart technology that improves soils while minimizing fertilizer costs. Yet other technologies that improve productivity and appear to be biologically sound have been rejected by farmers. To translate benefits to smallholder farmers, research on low-nutrient tolerant genes and crop improvement must keep farmer preferences and belief systems in the forefront. We review farmer participatory research on legume-intensification and soil fertility management options for smallholder farmers in Africa, including recent results from our work in Malawi and Kenya. We suggest that indeterminate, long-duration legumes are the best bet for producing high quality residues, compared to short-duration and determinate genotypes. This may be due to a long period of time to biologically fix nitrogen, acquire nutrients, photosynthesize and grain fill. Also, the indeterminate nature of long-duration varieties facilitates recovery from intermittent stresses such as drought or pest pressure. However, indeterminate growth habit is also associated with late maturity, moderate yield potential and high labour demand. These traits are not necessarily compatible with smallholder criteria for acceptable varieties. Malawi women farmers, for example, prioritized early maturity and low-labour requirement, as well as yield potential. To address complex farmer requirements, we suggest the purposeful combination of species with different growth habits; e.g. deep-rooted indeterminate long-duration pigeonpea interplanted with short-duration soyabean and groudnut varieties. On-farm trials in Malawi indicate that calorie production can be increased by 30% through pigeonpea-intensified systems. Farmers consistently indicate strong interest in these systems. In Kenya, a 55% yield increase was observed for a doubled-up pigeonpea system (a double row of pigeonpea intercropped with three maize rows) compared to traditional, low density intercrops. However, the need for improved pigeonpea varieties with high intercrop suitability, including reduced early branching, was highlighted by a farmer preference study in the same area. These examples illustrate the potential for participatory research methodologies to drive biophysical research in farmer-acceptable directions.","container-title":"Plant and Soil","DOI":"10.1023/A:1020658715648","ISSN":"1573-5036","issue":"1","journalAbbreviation":"Plant and Soil","language":"en","page":"181-192","source":"Springer Link","title":"Farmer preferences and legume intensification for low nutrient environments","volume":"245","author":[{"family":"Snapp","given":"S.S."},{"family":"Silim","given":"S.N."}],"issued":{"date-parts":[["2002",8,1]]},"citation-key":"snappFarmerPreferencesLegume2002"}}],"schema":"https://github.com/citation-style-language/schema/raw/master/csl-citation.json"} </w:instrText>
      </w:r>
      <w:r w:rsidR="002B4DF6">
        <w:fldChar w:fldCharType="separate"/>
      </w:r>
      <w:r w:rsidR="002B4DF6" w:rsidRPr="002B4DF6">
        <w:t>(Snapp &amp; Silim, 2002)</w:t>
      </w:r>
      <w:r w:rsidR="002B4DF6">
        <w:fldChar w:fldCharType="end"/>
      </w:r>
      <w:r w:rsidR="00503B00" w:rsidRPr="00503B00">
        <w:t xml:space="preserve">. This </w:t>
      </w:r>
      <w:r w:rsidR="00B12C3E">
        <w:t xml:space="preserve">tends to create </w:t>
      </w:r>
      <w:r w:rsidR="00503B00" w:rsidRPr="00503B00">
        <w:t xml:space="preserve">a </w:t>
      </w:r>
      <w:r w:rsidR="00B12C3E">
        <w:t>significant adoption barrier</w:t>
      </w:r>
      <w:r w:rsidR="00503B00" w:rsidRPr="00503B00">
        <w:t xml:space="preserve"> where the increased labor demanded by legume intensification could be redirected toward other enterprises that provide more immediate returns to household welfare, making extensive legume cultivation less attractive to women farmers </w:t>
      </w:r>
      <w:r w:rsidR="002B4DF6">
        <w:fldChar w:fldCharType="begin"/>
      </w:r>
      <w:r w:rsidR="002B4DF6">
        <w:instrText xml:space="preserve"> ADDIN ZOTERO_ITEM CSL_CITATION {"citationID":"LPk4eozE","properties":{"formattedCitation":"(Snapp et al., 2002)","plainCitation":"(Snapp et al., 2002)","noteIndex":0},"citationItems":[{"id":1989,"uris":["http://zotero.org/groups/5881550/items/UHF5KECX"],"itemData":{"id":1989,"type":"article-journal","abstract":"Sole-cropped, unfertilized maize is the dominant cropping system throughout southern Africa. Yields have become stagnant and legumes are frequently advocated as an affordable option for resource poor farmers, to enhance productivity. Farmer participatory research was employed to test legume intensification as a means to improve maize-based systems in Malawi. A range of options were evaluated, from grain/legume intercrops of long-duration pigeonpea (Cajanus cajan) and groundnut (Arachis hypogaea) rotated with maize (Zea mays), to a relay green manure system of maize with Tephrosia vogelii (Fishbean). Two years of on-farm experimentation indicated that under on-farm conditions legume-intensified systems produced residues that contained about 50kgN/ha per year, two-fold higher than sole-cropped maize residues. Grain yields from legume-intensified systems were comparable to yields from continuous sole maize, even in a dry lakeshore ecology. These preliminary findings were linked to farmer assessment, where farmers participating in the trials expressed strong interest in the technologies. Yet the probability of adoption remains uncertain. Associated surveys outlined constraints and trade-offs underlying technology choice, information that is not usually considered in conjunction with on-farm trials. Although the legumes were highly productive, farmers expressed worries about the marginal loss of maize production. While the trial performance was similar across regions, differences in market condition, farm resources and household composition appears to stimulate different technology choices. Farmers weigh the benefits of weed suppression and potential cash earnings, against the costs of seed, problems of seed access, labor requirements and problems of grain market access and price. Surveyed farmers commonly manage residues by burning. Promotion and experimentation with more efficient use of legume residues may offer higher short-term impacts than efforts to promote adoption of another cash crop. Ultimately, adoption and soil fertility benefits may depend on market returns to legume production. This study documents the value of researchers and farmers partnering in evaluation of technologies, adoption constraints and competing technology choices.","container-title":"Agriculture, Ecosystems &amp; Environment","DOI":"10.1016/S0167-8809(01)00238-9","ISSN":"0167-8809","issue":"1","journalAbbreviation":"Agriculture, Ecosystems &amp; Environment","page":"159-174","source":"ScienceDirect","title":"Sustainable soil management options for Malawi: can smallholder farmers grow more legumes?","title-short":"Sustainable soil management options for Malawi","volume":"91","author":[{"family":"Snapp","given":"S. S."},{"family":"Rohrbach","given":"D. D."},{"family":"Simtowe","given":"F."},{"family":"Freeman","given":"H. A."}],"issued":{"date-parts":[["2002",9,1]]},"citation-key":"snappSustainableSoilManagement2002"}}],"schema":"https://github.com/citation-style-language/schema/raw/master/csl-citation.json"} </w:instrText>
      </w:r>
      <w:r w:rsidR="002B4DF6">
        <w:fldChar w:fldCharType="separate"/>
      </w:r>
      <w:r w:rsidR="002B4DF6" w:rsidRPr="002B4DF6">
        <w:t>(Snapp et al., 2002)</w:t>
      </w:r>
      <w:r w:rsidR="002B4DF6">
        <w:fldChar w:fldCharType="end"/>
      </w:r>
      <w:r w:rsidR="00503B00" w:rsidRPr="00503B00">
        <w:t>.</w:t>
      </w:r>
      <w:r w:rsidR="00D2372D">
        <w:t xml:space="preserve"> </w:t>
      </w:r>
      <w:r w:rsidR="00D2372D" w:rsidRPr="00D2372D">
        <w:t xml:space="preserve">Conversely, women's reproductive roles may </w:t>
      </w:r>
      <w:r w:rsidR="00D2372D">
        <w:t>also</w:t>
      </w:r>
      <w:r w:rsidR="00D2372D" w:rsidRPr="00D2372D">
        <w:t xml:space="preserve"> facilitate legume-based intensification. The integration of legumes into maize production systems enhances crop diversity</w:t>
      </w:r>
      <w:r>
        <w:t xml:space="preserve"> and protein supply</w:t>
      </w:r>
      <w:r w:rsidR="00D2372D" w:rsidRPr="00D2372D">
        <w:t xml:space="preserve">, aligning with women's priorities for food security, nutritional quality, and varieties that meet household requirements </w:t>
      </w:r>
      <w:r w:rsidR="00D2372D">
        <w:fldChar w:fldCharType="begin"/>
      </w:r>
      <w:r w:rsidR="00D2372D">
        <w:instrText xml:space="preserve"> ADDIN ZOTERO_ITEM CSL_CITATION {"citationID":"5RNTpKV4","properties":{"formattedCitation":"(Beuchelt &amp; Badstue, 2013; Doss, 2001)","plainCitation":"(Beuchelt &amp; Badstue, 2013; Doss, 2001)","noteIndex":0},"citationItems":[{"id":2013,"uris":["http://zotero.org/groups/5881550/items/3XPJAKAL"],"itemData":{"id":2013,"type":"article-journal","abstract":"Future food and nutrition security is threatened by climate change, overexploitation of natural resources and pervasive social inequalities. Promising solutions are often technology-focused and not necessarily developed considering gender and social disparities. This paper addresses issues of gender and human development opportunities and trade-offs related to promoting improved technologies for agricultural development. We examined these aspects for conservation agriculture (CA) as part of a cropping system with nutrition- and climate-smart potential. The paper is based on a literature review and field experiences from Zambia and Mexico. Findings point up situations where the promotion of CA for smallholders in developing countries may have undesired effects from gender and human development perspectives, specifically relating to drudgery, nutrition and food security, residue use, assets, mechanization and extension. The direction and magnitude of potential trade-offs depend on the local context and the specific intervention. The analysis is followed by a discussion of opportunities and pathways for mitigating the trade-offs, including gender transformative approaches; engagement with alternative or non-traditional partners with different but complementary perspectives and strengths; “smart” combinations of technologies and approaches; and policies for inclusive development.","container-title":"Food Security","DOI":"10.1007/s12571-013-0290-8","ISSN":"1876-4525","issue":"5","journalAbbreviation":"Food Sec.","language":"en","page":"709-721","source":"Springer Link","title":"Gender, nutrition- and climate-smart food production: Opportunities and trade-offs","title-short":"Gender, nutrition- and climate-smart food production","volume":"5","author":[{"family":"Beuchelt","given":"Tina Désirée"},{"family":"Badstue","given":"Lone"}],"issued":{"date-parts":[["2013",10,1]]},"citation-key":"beucheltGenderNutritionClimatesmart2013"}},{"id":2031,"uris":["http://zotero.org/groups/5881550/items/ZQ3B5KR7"],"itemData":{"id":2031,"type":"article-journal","abstract":"African women farmers are less likely than men to adopt improved crop varieties and management systems. This paper addresses two issues: How does gender affect technology adoption among African farmers? How does the introduction of new technologies affect women's well-being? Three conclusions come out of an extensive and critical review of the literature. First, African households are complex and heterogeneous. Second, gender roles within African households and communities cannot be simply summarized. Third, gender roles and responsibilities are dynamic; they respond to changing economic circumstances. The paper demonstrates the complexity and importance of efforts to design interventions for African women.","container-title":"World Development","DOI":"10.1016/S0305-750X(01)00088-2","ISSN":"0305-750X","issue":"12","journalAbbreviation":"World Development","page":"2075-2092","source":"ScienceDirect","title":"Designing Agricultural Technology for African Women Farmers: Lessons from 25 Years of Experience","title-short":"Designing Agricultural Technology for African Women Farmers","volume":"29","author":[{"family":"Doss","given":"Cheryl R"}],"issued":{"date-parts":[["2001",12,1]]},"citation-key":"dossDesigningAgriculturalTechnology2001"}}],"schema":"https://github.com/citation-style-language/schema/raw/master/csl-citation.json"} </w:instrText>
      </w:r>
      <w:r w:rsidR="00D2372D">
        <w:fldChar w:fldCharType="separate"/>
      </w:r>
      <w:r w:rsidR="00D2372D" w:rsidRPr="00D2372D">
        <w:t>(Beuchelt &amp; Badstue, 2013; Doss, 2001)</w:t>
      </w:r>
      <w:r w:rsidR="00D2372D">
        <w:fldChar w:fldCharType="end"/>
      </w:r>
      <w:r w:rsidR="00D2372D" w:rsidRPr="00D2372D">
        <w:t>. This diversification directly supports women's reproductive responsibilities by providing multiple pathways to household food security and nutritional adequacy.</w:t>
      </w:r>
    </w:p>
    <w:p w14:paraId="78B37527" w14:textId="77777777" w:rsidR="00C572F6" w:rsidRDefault="005D07C1" w:rsidP="00EF1EF7">
      <w:r>
        <w:t xml:space="preserve">Considering the plausible food security benefits of legume-based intensification of maize production and its </w:t>
      </w:r>
      <w:r w:rsidR="006653A4">
        <w:t>complex</w:t>
      </w:r>
      <w:r>
        <w:t xml:space="preserve"> relationship with gender, this paper has two main objectives. </w:t>
      </w:r>
      <w:r w:rsidR="006653A4" w:rsidRPr="006653A4">
        <w:t>First, we investigate gender differences in the adoption of legume-based intensification strategies. Second, we examine the food security impacts of legume-</w:t>
      </w:r>
      <w:r w:rsidR="006653A4" w:rsidRPr="006653A4">
        <w:lastRenderedPageBreak/>
        <w:t>based intensification in maize production systems, exploring the heterogeneity of these effects across different contexts.</w:t>
      </w:r>
      <w:r w:rsidR="00AC1D86">
        <w:t xml:space="preserve"> </w:t>
      </w:r>
    </w:p>
    <w:p w14:paraId="28346793" w14:textId="5FEEE0AB" w:rsidR="008D2FFE" w:rsidRDefault="008D2FFE" w:rsidP="00EF1EF7">
      <w:r w:rsidRPr="008D2FFE">
        <w:t>Prior work examining the effects of sustainable intensification practices, particularly maize-legume intercropping systems, on household food security and nutrition outcomes in sub-Saharan Africa remains scarce</w:t>
      </w:r>
      <w:r w:rsidR="0086282A">
        <w:rPr>
          <w:rStyle w:val="FootnoteReference"/>
        </w:rPr>
        <w:footnoteReference w:id="1"/>
      </w:r>
      <w:r w:rsidRPr="008D2FFE">
        <w:t>.</w:t>
      </w:r>
      <w:r>
        <w:t xml:space="preserve"> </w:t>
      </w:r>
      <w:r>
        <w:fldChar w:fldCharType="begin"/>
      </w:r>
      <w:r>
        <w:instrText xml:space="preserve"> ADDIN ZOTERO_ITEM CSL_CITATION {"citationID":"KeKcQ7A6","properties":{"custom":"Osewe et al. (2023)","formattedCitation":"Osewe et al. (2023)","plainCitation":"Osewe et al. (2023)","noteIndex":0},"citationItems":[{"id":1908,"uris":["http://zotero.org/groups/5881550/items/RJE3N9JC"],"itemData":{"id":1908,"type":"article-journal","container-title":"Global Food Security","DOI":"10.1016/j.gfs.2023.100724","ISSN":"22119124","journalAbbreviation":"Global Food Security","language":"en","page":"100724","source":"DOI.org (Crossref)","title":"Sustainable intensification and food security: A panel data assessment of the smallholder maize farmers in Uganda","title-short":"Sustainable intensification and food security","volume":"39","author":[{"family":"Osewe","given":"Maurice"},{"family":"Aijun","given":"Liu"},{"family":"Jiqin","given":"Han"}],"issued":{"date-parts":[["2023",12]]},"citation-key":"oseweSustainableIntensificationFood2023a"}}],"schema":"https://github.com/citation-style-language/schema/raw/master/csl-citation.json"} </w:instrText>
      </w:r>
      <w:r>
        <w:fldChar w:fldCharType="separate"/>
      </w:r>
      <w:r w:rsidRPr="008D2FFE">
        <w:t>Osewe et al. (2023)</w:t>
      </w:r>
      <w:r>
        <w:fldChar w:fldCharType="end"/>
      </w:r>
      <w:r>
        <w:t>,</w:t>
      </w:r>
      <w:r w:rsidRPr="008D2FFE">
        <w:t xml:space="preserve"> using Uganda National Panel Survey data, demonstrated that the joint use of inorganic fertilizer and maize-legume intercropping significantly improves household food security, while maize-legume intercropping alone had negative effects on food security, underscoring the necessity of complementing intercropping with inorganic inputs. Similarly, </w:t>
      </w:r>
      <w:r>
        <w:fldChar w:fldCharType="begin"/>
      </w:r>
      <w:r>
        <w:instrText xml:space="preserve"> ADDIN ZOTERO_ITEM CSL_CITATION {"citationID":"cEoSK0l6","properties":{"custom":"Kim et al. (2019)","formattedCitation":"Kim et al. (2019)","plainCitation":"Kim et al. (2019)","noteIndex":0},"citationItems":[{"id":1926,"uris":["http://zotero.org/groups/5881550/items/KRVC27ZT"],"itemData":{"id":1926,"type":"article-journal","abstract":"Abstract\n            Food insecurity, child malnutrition, and land degradation remain persistent problems in sub</w:instrText>
      </w:r>
      <w:r>
        <w:rPr>
          <w:rFonts w:ascii="Cambria Math" w:hAnsi="Cambria Math" w:cs="Cambria Math"/>
        </w:rPr>
        <w:instrText>‐</w:instrText>
      </w:r>
      <w:r>
        <w:instrText>Saharan Africa. Agricultural sustainable intensification (SI) has been proposed as a possible solution to simultaneously address these challenges. Yet there is little empirical evidence on if agricultural management practices and inputs that contribute to SI from an environmental standpoint do indeed improve food security or child nutrition. We use three waves of data from the nationally</w:instrText>
      </w:r>
      <w:r>
        <w:rPr>
          <w:rFonts w:ascii="Cambria Math" w:hAnsi="Cambria Math" w:cs="Cambria Math"/>
        </w:rPr>
        <w:instrText>‐</w:instrText>
      </w:r>
      <w:r>
        <w:instrText>representative Tanzania National Panel Survey to analyze the child nutrition effects of rural households</w:instrText>
      </w:r>
      <w:r>
        <w:rPr>
          <w:rFonts w:cs="Georgia"/>
        </w:rPr>
        <w:instrText>’</w:instrText>
      </w:r>
      <w:r>
        <w:instrText xml:space="preserve"> adoption of farming practices that can contribute to the SI of maize production. We group households into four categories based on their use of three soil fertility management practices on their maize plots: “Nonadoption”; “Intensification” (use of inorganic fertilizer only); “Sustainable” (use of organic fertilizer, maize–legume intercropping, or both); and “SI” (joint use of inorganic fertilizer with organic fertilizer and/or maize–legume intercropping). The results from multinomial endogenous treatment effects models with the Mundlak–Chamberlain device suggest that use of practices in the “SI” category is associated with improvements in children's height</w:instrText>
      </w:r>
      <w:r>
        <w:rPr>
          <w:rFonts w:ascii="Cambria Math" w:hAnsi="Cambria Math" w:cs="Cambria Math"/>
        </w:rPr>
        <w:instrText>‐</w:instrText>
      </w:r>
      <w:r>
        <w:instrText>for</w:instrText>
      </w:r>
      <w:r>
        <w:rPr>
          <w:rFonts w:ascii="Cambria Math" w:hAnsi="Cambria Math" w:cs="Cambria Math"/>
        </w:rPr>
        <w:instrText>‐</w:instrText>
      </w:r>
      <w:r>
        <w:instrText>age and weight</w:instrText>
      </w:r>
      <w:r>
        <w:rPr>
          <w:rFonts w:ascii="Cambria Math" w:hAnsi="Cambria Math" w:cs="Cambria Math"/>
        </w:rPr>
        <w:instrText>‐</w:instrText>
      </w:r>
      <w:r>
        <w:instrText>for</w:instrText>
      </w:r>
      <w:r>
        <w:rPr>
          <w:rFonts w:ascii="Cambria Math" w:hAnsi="Cambria Math" w:cs="Cambria Math"/>
        </w:rPr>
        <w:instrText>‐</w:instrText>
      </w:r>
      <w:r>
        <w:instrText>age z</w:instrText>
      </w:r>
      <w:r>
        <w:rPr>
          <w:rFonts w:ascii="Cambria Math" w:hAnsi="Cambria Math" w:cs="Cambria Math"/>
        </w:rPr>
        <w:instrText>‐</w:instrText>
      </w:r>
      <w:r>
        <w:instrText xml:space="preserve">scores relative to </w:instrText>
      </w:r>
      <w:r>
        <w:rPr>
          <w:rFonts w:cs="Georgia"/>
        </w:rPr>
        <w:instrText>“</w:instrText>
      </w:r>
      <w:r>
        <w:instrText>Nonadoption,</w:instrText>
      </w:r>
      <w:r>
        <w:rPr>
          <w:rFonts w:cs="Georgia"/>
        </w:rPr>
        <w:instrText>”</w:instrText>
      </w:r>
      <w:r>
        <w:instrText xml:space="preserve"> particularly for children aged 25</w:instrText>
      </w:r>
      <w:r>
        <w:rPr>
          <w:rFonts w:cs="Georgia"/>
        </w:rPr>
        <w:instrText>–</w:instrText>
      </w:r>
      <w:r>
        <w:instrText xml:space="preserve">59 months. These effects appear to come through improvements in both crop income and productivity.","container-title":"Agricultural Economics","DOI":"10.1111/agec.12520","ISSN":"0169-5150, 1574-0862","issue":"6","journalAbbreviation":"Agricultural Economics","language":"en","page":"723-734","source":"DOI.org (Crossref)","title":"Does sustainable intensification of maize production enhance child nutrition? Evidence from rural Tanzania","title-short":"Does sustainable intensification of maize production enhance child nutrition?","volume":"50","author":[{"family":"Kim","given":"Jongwoo"},{"family":"Mason","given":"Nicole M."},{"family":"Snapp","given":"Sieglinde"},{"family":"Wu","given":"Felicia"}],"issued":{"date-parts":[["2019",11]]},"citation-key":"kimDoesSustainableIntensification2019"}}],"schema":"https://github.com/citation-style-language/schema/raw/master/csl-citation.json"} </w:instrText>
      </w:r>
      <w:r>
        <w:fldChar w:fldCharType="separate"/>
      </w:r>
      <w:r w:rsidRPr="008D2FFE">
        <w:t>Kim et al. (2019)</w:t>
      </w:r>
      <w:r>
        <w:fldChar w:fldCharType="end"/>
      </w:r>
      <w:r>
        <w:t xml:space="preserve"> </w:t>
      </w:r>
      <w:r w:rsidRPr="008D2FFE">
        <w:t xml:space="preserve">found that the combined use of inorganic fertilizer with maize-legume intercropping was associated with improved child nutrition in Tanzania, reinforcing the importance of integrating inorganic fertilizer into intercropping systems. </w:t>
      </w:r>
      <w:r>
        <w:fldChar w:fldCharType="begin"/>
      </w:r>
      <w:r>
        <w:instrText xml:space="preserve"> ADDIN ZOTERO_ITEM CSL_CITATION {"citationID":"z6iG1fue","properties":{"custom":"Azzarri et al. (2022)","formattedCitation":"Azzarri et al. (2022)","plainCitation":"Azzarri et al. (2022)","noteIndex":0},"citationItems":[{"id":1924,"uris":["http://zotero.org/groups/5881550/items/DE5ZKIHK"],"itemData":{"id":1924,"type":"article-journal","abstract":"We examine the association between on-farm production diversity on household dietary diversity in Malawi using microdata collected as part of an environmentally sustainable agricultural intensification program. The program primarily focuses on the integration of legumes into the cropping system through maize-legume intercropping and legume-legume intercropping. Relative to staple cereals such as maize, legumes are rich in micronutrients, contain better-quality protein, and lead to nitrogen fixation. Given the systematic difference we document between program beneficiaries and randomly sampled non-beneficiary (control) households, we employ causal instrumental variables mediation analysis to account for non-random selection and possible simultaneity between production and consumption decisions. We find a significant positive treatment effect on dietary diversity, led by an increase in production diversity. Analysis of potential pathways show that effects on dietary diversity stem mostly from consumption of diverse food items purchased from the market made possible through higher agricultural income. These findings highlight that, while increasing production for markets can enhance dietary diversity through higher income that would make affordable an expanded set of food items, the production of more nutritious crops such as pulses may not necessarily translate into greater own consumption. This may be due to the persistence of dietary habits, tastes, or other local factors that favor consumption of staples such as maize and encourage sales of more profitable and nutritious food items such as pulses. Pulses are a more affordable and environmentally sustainable source of protein than animal source food, and efforts should be made to enhance their nutritional awareness and contribution to sustainable food systems and healthier diets.","container-title":"PLOS ONE","DOI":"10.1371/journal.pone.0265947","ISSN":"1932-6203","issue":"3","journalAbbreviation":"PLoS ONE","language":"en","page":"e0265947","source":"DOI.org (Crossref)","title":"Plant different, eat different? Insights from participatory agricultural research","title-short":"Plant different, eat different?","volume":"17","author":[{"family":"Azzarri","given":"Carlo"},{"family":"Haile","given":"Beliyou"},{"family":"Letta","given":"Marco"}],"editor":[{"family":"Kruseman","given":"Gideon"}],"issued":{"date-parts":[["2022",3,25]]},"citation-key":"azzarriPlantDifferentEat2022"}}],"schema":"https://github.com/citation-style-language/schema/raw/master/csl-citation.json"} </w:instrText>
      </w:r>
      <w:r>
        <w:fldChar w:fldCharType="separate"/>
      </w:r>
      <w:r w:rsidRPr="008D2FFE">
        <w:t>Azzarri et al. (2022)</w:t>
      </w:r>
      <w:r>
        <w:fldChar w:fldCharType="end"/>
      </w:r>
      <w:r w:rsidRPr="008D2FFE">
        <w:t xml:space="preserve"> evaluated an agricultural intensification program integrating pulses into maize production systems in Malawi and found positive impacts on dietary diversity, primarily driven by increased income from maize production. However, </w:t>
      </w:r>
      <w:r>
        <w:t>in</w:t>
      </w:r>
      <w:r w:rsidRPr="008D2FFE">
        <w:t xml:space="preserve"> another study</w:t>
      </w:r>
      <w:r>
        <w:t xml:space="preserve"> from Tanzania</w:t>
      </w:r>
      <w:r w:rsidRPr="008D2FFE">
        <w:t xml:space="preserve">, </w:t>
      </w:r>
      <w:r>
        <w:fldChar w:fldCharType="begin"/>
      </w:r>
      <w:r>
        <w:instrText xml:space="preserve"> ADDIN ZOTERO_ITEM CSL_CITATION {"citationID":"qQZTcV69","properties":{"custom":"Santalucia and Sibhatu (2024)","formattedCitation":"Santalucia and Sibhatu (2024)","plainCitation":"Santalucia and Sibhatu (2024)","noteIndex":0},"citationItems":[{"id":1903,"uris":["http://zotero.org/groups/5881550/items/5XXZIV5X"],"itemData":{"id":1903,"type":"article-journal","abstract":"Climate-smart agricultural (CSA) practices are increasingly being promoted as nature-based solutions to improve the livelihoods of smallholder farm households amid a sharp increase in climate-change anomalies. However, the extent to which CSA practices contribute to smallholder food security and dietary diversity remains unclear. In this study, we use panel and nationally representative data from Tanzania to examine the association between two climate-smart agricultural practices, namely, improved maize varieties and maize-legume intercropping, and food security in smallholder farm households. We use maize yield per acre, adult-equivalent food expenditure, and household dietary diversity scores to measure household food security, representing three of the four food security pillars: availability, access, and utilization. We also examine the complementarity and potential advantages of combining improved maize seeds with fertilizers. Using standard panel data estimation approaches, we find a positive association between the adoption of improved maize varieties and maize-legume intercropping and an increase in food production measured through higher crop productivity. However, we do not find a corresponding improvement in household dietary diversity or increased food expenditure, despite the higher crop production. Several factors might explain this outcome, including the challenges faced by farmers in accessing markets to sell surplus produce, the influence of established dietary habits, gender issues, and other local factors that promote the consumption of cereal-based foods such as maize. Our findings suggest that CSA practices may help improve food production and availability, but more effort is needed to translate increased food production into improved dietary diversity and better food security among smallholder farmers in sub-Saharan Africa. [EconLit Citations: C23, D12, D13, D24, Q12, Q16, Q18, Q54]. © 2023 The Authors. Agribusiness published by Wiley Periodicals LLC.","container-title":"Agribusiness","DOI":"10.1002/agr.21892","ISSN":"0742-4477","issue":"2","journalAbbreviation":"Agribusiness","language":"English","note":"publisher: John Wiley and Sons Inc","page":"513-533","source":"Scopus","title":"Nourishing the farms, nourishing the plates: Association of climate-smart agricultural practices with household dietary diversity and food security in smallholders","title-short":"Nourishing the farms, nourishing the plates","volume":"40","author":[{"family":"Santalucia","given":"Simone"},{"family":"Sibhatu","given":"Kibrom T."}],"issued":{"date-parts":[["2024"]]},"citation-key":"santaluciaNourishingFarmsNourishing2024"}}],"schema":"https://github.com/citation-style-language/schema/raw/master/csl-citation.json"} </w:instrText>
      </w:r>
      <w:r>
        <w:fldChar w:fldCharType="separate"/>
      </w:r>
      <w:r w:rsidRPr="008D2FFE">
        <w:t>Santalucia and Sibhatu (2024)</w:t>
      </w:r>
      <w:r>
        <w:fldChar w:fldCharType="end"/>
      </w:r>
      <w:r>
        <w:t xml:space="preserve"> </w:t>
      </w:r>
      <w:r w:rsidRPr="008D2FFE">
        <w:t>found that despite improvements in maize yields, there was no evidence of impact on dietary diversity or food expenditure, highlighting the complexity of translating agricultural productivity gains into nutrition outcomes.</w:t>
      </w:r>
    </w:p>
    <w:p w14:paraId="62839F97" w14:textId="67A14A93" w:rsidR="00C572F6" w:rsidRDefault="00CC705E" w:rsidP="00EF1EF7">
      <w:r w:rsidRPr="00CC705E">
        <w:t>This paper contributes to the literature by examining how gender dynamics influence the adoption and effectiveness of legume-based agroecological intensification practices for food security outcomes among maize-producing smallholder farmers.</w:t>
      </w:r>
      <w:r w:rsidR="003C6CC9">
        <w:t xml:space="preserve"> </w:t>
      </w:r>
      <w:r w:rsidR="003C6CC9" w:rsidRPr="003C6CC9">
        <w:t>Furthermore, we analyze the heterogeneous effects of maize-legume diversification on food security across varying household contexts, specifically examining differences by off-farm income, household wealth, production diversity</w:t>
      </w:r>
      <w:r w:rsidR="003C6CC9">
        <w:t>, and inorganic fertilizer application</w:t>
      </w:r>
      <w:r w:rsidR="003C6CC9" w:rsidRPr="003C6CC9">
        <w:t>.</w:t>
      </w:r>
      <w:r w:rsidR="005208F9">
        <w:t xml:space="preserve"> </w:t>
      </w:r>
    </w:p>
    <w:p w14:paraId="62E17BD3" w14:textId="77777777" w:rsidR="00C572F6" w:rsidRDefault="00C572F6" w:rsidP="00EF1EF7"/>
    <w:p w14:paraId="62518658" w14:textId="6E8E445C" w:rsidR="005D07C1" w:rsidRDefault="00AC1D86" w:rsidP="00EF1EF7">
      <w:r>
        <w:t xml:space="preserve"> </w:t>
      </w:r>
    </w:p>
    <w:p w14:paraId="4F16ACFE" w14:textId="5474BFD0" w:rsidR="00EF1EF7" w:rsidRDefault="00EF1EF7" w:rsidP="00EF1EF7">
      <w:pPr>
        <w:pStyle w:val="Heading1"/>
      </w:pPr>
      <w:r>
        <w:t>Data and methods</w:t>
      </w:r>
    </w:p>
    <w:p w14:paraId="55196EE6" w14:textId="6010A37E" w:rsidR="00C24AB0" w:rsidRPr="00C24AB0" w:rsidRDefault="00C24AB0" w:rsidP="00C24AB0">
      <w:r>
        <w:t>Study Area</w:t>
      </w:r>
    </w:p>
    <w:p w14:paraId="07CC6355" w14:textId="77777777" w:rsidR="00EF1EF7" w:rsidRDefault="00EF1EF7" w:rsidP="00EF1EF7"/>
    <w:p w14:paraId="195B38D3" w14:textId="77777777" w:rsidR="00EF1EF7" w:rsidRDefault="00EF1EF7" w:rsidP="00EF1EF7"/>
    <w:p w14:paraId="1651910B" w14:textId="193053AE" w:rsidR="00EF1EF7" w:rsidRDefault="00EF1EF7" w:rsidP="00EF1EF7">
      <w:pPr>
        <w:pStyle w:val="Heading1"/>
      </w:pPr>
      <w:r>
        <w:t>Results</w:t>
      </w:r>
    </w:p>
    <w:p w14:paraId="1EAD7E83" w14:textId="77777777" w:rsidR="00EF1EF7" w:rsidRDefault="00EF1EF7" w:rsidP="00EF1EF7"/>
    <w:p w14:paraId="72BB150D" w14:textId="76224C84" w:rsidR="00EF1EF7" w:rsidRDefault="00EF1EF7" w:rsidP="00EF1EF7">
      <w:pPr>
        <w:pStyle w:val="Heading1"/>
      </w:pPr>
      <w:r>
        <w:t>Discussion</w:t>
      </w:r>
    </w:p>
    <w:p w14:paraId="193F8C05" w14:textId="77777777" w:rsidR="00EF1EF7" w:rsidRDefault="00EF1EF7" w:rsidP="00EF1EF7"/>
    <w:p w14:paraId="236CB275" w14:textId="651F5E85" w:rsidR="00EF1EF7" w:rsidRDefault="00EF1EF7" w:rsidP="00EF1EF7">
      <w:pPr>
        <w:pStyle w:val="Heading1"/>
      </w:pPr>
      <w:r>
        <w:t>Conclusion</w:t>
      </w:r>
    </w:p>
    <w:p w14:paraId="0F1912B6" w14:textId="77777777" w:rsidR="00A17EBA" w:rsidRDefault="00A17EBA" w:rsidP="00A17EBA"/>
    <w:p w14:paraId="34081F57" w14:textId="34A09D52" w:rsidR="00A17EBA" w:rsidRPr="00A17EBA" w:rsidRDefault="00A17EBA" w:rsidP="00A17EBA">
      <w:pPr>
        <w:pStyle w:val="Heading1"/>
      </w:pPr>
      <w:r>
        <w:t>References</w:t>
      </w:r>
    </w:p>
    <w:p w14:paraId="065E676D" w14:textId="77777777" w:rsidR="00EF1EF7" w:rsidRDefault="00EF1EF7" w:rsidP="00EF1EF7"/>
    <w:p w14:paraId="5188B2A4" w14:textId="7F3A38E1" w:rsidR="00EF1EF7" w:rsidRPr="00EF1EF7" w:rsidRDefault="00EF1EF7" w:rsidP="00EF1EF7"/>
    <w:sectPr w:rsidR="00EF1EF7" w:rsidRPr="00EF1EF7">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EB046ED" w14:textId="77777777" w:rsidR="00603CE5" w:rsidRDefault="00603CE5" w:rsidP="0086282A">
      <w:pPr>
        <w:spacing w:before="0" w:after="0" w:line="240" w:lineRule="auto"/>
      </w:pPr>
      <w:r>
        <w:separator/>
      </w:r>
    </w:p>
  </w:endnote>
  <w:endnote w:type="continuationSeparator" w:id="0">
    <w:p w14:paraId="51B94FEF" w14:textId="77777777" w:rsidR="00603CE5" w:rsidRDefault="00603CE5" w:rsidP="0086282A">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D8E42C6" w14:textId="77777777" w:rsidR="00603CE5" w:rsidRDefault="00603CE5" w:rsidP="0086282A">
      <w:pPr>
        <w:spacing w:before="0" w:after="0" w:line="240" w:lineRule="auto"/>
      </w:pPr>
      <w:r>
        <w:separator/>
      </w:r>
    </w:p>
  </w:footnote>
  <w:footnote w:type="continuationSeparator" w:id="0">
    <w:p w14:paraId="13E8CD2E" w14:textId="77777777" w:rsidR="00603CE5" w:rsidRDefault="00603CE5" w:rsidP="0086282A">
      <w:pPr>
        <w:spacing w:before="0" w:after="0" w:line="240" w:lineRule="auto"/>
      </w:pPr>
      <w:r>
        <w:continuationSeparator/>
      </w:r>
    </w:p>
  </w:footnote>
  <w:footnote w:id="1">
    <w:p w14:paraId="6A2DD816" w14:textId="5DF57869" w:rsidR="0086282A" w:rsidRDefault="0086282A">
      <w:pPr>
        <w:pStyle w:val="FootnoteText"/>
      </w:pPr>
      <w:r>
        <w:rPr>
          <w:rStyle w:val="FootnoteReference"/>
        </w:rPr>
        <w:footnoteRef/>
      </w:r>
      <w:r>
        <w:t xml:space="preserve"> Scopus </w:t>
      </w:r>
      <w:r w:rsidRPr="0086282A">
        <w:t>"maize-legume" AND ( "food security" OR protein )</w:t>
      </w:r>
      <w:r w:rsidR="009D71AF">
        <w:t xml:space="preserve">” </w:t>
      </w:r>
      <w:r>
        <w:t xml:space="preserve"> </w:t>
      </w:r>
      <w:r w:rsidR="009D71AF">
        <w:t xml:space="preserve">search </w:t>
      </w:r>
      <w:r>
        <w:t>que</w:t>
      </w:r>
      <w:r w:rsidR="009D71AF">
        <w:t xml:space="preserve">ry provides 61 articles of which only four are relevant.  </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2300FFF"/>
    <w:multiLevelType w:val="hybridMultilevel"/>
    <w:tmpl w:val="A7CAA282"/>
    <w:lvl w:ilvl="0" w:tplc="5DBC6DC8">
      <w:start w:val="1"/>
      <w:numFmt w:val="decimal"/>
      <w:pStyle w:val="Heading1"/>
      <w:lvlText w:val="%1."/>
      <w:lvlJc w:val="left"/>
      <w:pPr>
        <w:ind w:left="720" w:hanging="360"/>
      </w:pPr>
    </w:lvl>
    <w:lvl w:ilvl="1" w:tplc="10000019" w:tentative="1">
      <w:start w:val="1"/>
      <w:numFmt w:val="lowerLetter"/>
      <w:lvlText w:val="%2."/>
      <w:lvlJc w:val="left"/>
      <w:pPr>
        <w:ind w:left="1440" w:hanging="360"/>
      </w:pPr>
    </w:lvl>
    <w:lvl w:ilvl="2" w:tplc="1000001B" w:tentative="1">
      <w:start w:val="1"/>
      <w:numFmt w:val="lowerRoman"/>
      <w:lvlText w:val="%3."/>
      <w:lvlJc w:val="right"/>
      <w:pPr>
        <w:ind w:left="2160" w:hanging="180"/>
      </w:pPr>
    </w:lvl>
    <w:lvl w:ilvl="3" w:tplc="1000000F" w:tentative="1">
      <w:start w:val="1"/>
      <w:numFmt w:val="decimal"/>
      <w:lvlText w:val="%4."/>
      <w:lvlJc w:val="left"/>
      <w:pPr>
        <w:ind w:left="2880" w:hanging="360"/>
      </w:pPr>
    </w:lvl>
    <w:lvl w:ilvl="4" w:tplc="10000019" w:tentative="1">
      <w:start w:val="1"/>
      <w:numFmt w:val="lowerLetter"/>
      <w:lvlText w:val="%5."/>
      <w:lvlJc w:val="left"/>
      <w:pPr>
        <w:ind w:left="3600" w:hanging="360"/>
      </w:pPr>
    </w:lvl>
    <w:lvl w:ilvl="5" w:tplc="1000001B" w:tentative="1">
      <w:start w:val="1"/>
      <w:numFmt w:val="lowerRoman"/>
      <w:lvlText w:val="%6."/>
      <w:lvlJc w:val="right"/>
      <w:pPr>
        <w:ind w:left="4320" w:hanging="180"/>
      </w:pPr>
    </w:lvl>
    <w:lvl w:ilvl="6" w:tplc="1000000F" w:tentative="1">
      <w:start w:val="1"/>
      <w:numFmt w:val="decimal"/>
      <w:lvlText w:val="%7."/>
      <w:lvlJc w:val="left"/>
      <w:pPr>
        <w:ind w:left="5040" w:hanging="360"/>
      </w:pPr>
    </w:lvl>
    <w:lvl w:ilvl="7" w:tplc="10000019" w:tentative="1">
      <w:start w:val="1"/>
      <w:numFmt w:val="lowerLetter"/>
      <w:lvlText w:val="%8."/>
      <w:lvlJc w:val="left"/>
      <w:pPr>
        <w:ind w:left="5760" w:hanging="360"/>
      </w:pPr>
    </w:lvl>
    <w:lvl w:ilvl="8" w:tplc="1000001B" w:tentative="1">
      <w:start w:val="1"/>
      <w:numFmt w:val="lowerRoman"/>
      <w:lvlText w:val="%9."/>
      <w:lvlJc w:val="right"/>
      <w:pPr>
        <w:ind w:left="6480" w:hanging="180"/>
      </w:pPr>
    </w:lvl>
  </w:abstractNum>
  <w:abstractNum w:abstractNumId="1" w15:restartNumberingAfterBreak="0">
    <w:nsid w:val="5BFF16C5"/>
    <w:multiLevelType w:val="hybridMultilevel"/>
    <w:tmpl w:val="6A9C60A6"/>
    <w:lvl w:ilvl="0" w:tplc="5E0A1512">
      <w:start w:val="1"/>
      <w:numFmt w:val="decimal"/>
      <w:pStyle w:val="Heading2"/>
      <w:lvlText w:val="%1."/>
      <w:lvlJc w:val="left"/>
      <w:pPr>
        <w:ind w:left="720" w:hanging="360"/>
      </w:pPr>
    </w:lvl>
    <w:lvl w:ilvl="1" w:tplc="10000019" w:tentative="1">
      <w:start w:val="1"/>
      <w:numFmt w:val="lowerLetter"/>
      <w:lvlText w:val="%2."/>
      <w:lvlJc w:val="left"/>
      <w:pPr>
        <w:ind w:left="1440" w:hanging="360"/>
      </w:pPr>
    </w:lvl>
    <w:lvl w:ilvl="2" w:tplc="1000001B" w:tentative="1">
      <w:start w:val="1"/>
      <w:numFmt w:val="lowerRoman"/>
      <w:lvlText w:val="%3."/>
      <w:lvlJc w:val="right"/>
      <w:pPr>
        <w:ind w:left="2160" w:hanging="180"/>
      </w:pPr>
    </w:lvl>
    <w:lvl w:ilvl="3" w:tplc="1000000F" w:tentative="1">
      <w:start w:val="1"/>
      <w:numFmt w:val="decimal"/>
      <w:lvlText w:val="%4."/>
      <w:lvlJc w:val="left"/>
      <w:pPr>
        <w:ind w:left="2880" w:hanging="360"/>
      </w:pPr>
    </w:lvl>
    <w:lvl w:ilvl="4" w:tplc="10000019" w:tentative="1">
      <w:start w:val="1"/>
      <w:numFmt w:val="lowerLetter"/>
      <w:lvlText w:val="%5."/>
      <w:lvlJc w:val="left"/>
      <w:pPr>
        <w:ind w:left="3600" w:hanging="360"/>
      </w:pPr>
    </w:lvl>
    <w:lvl w:ilvl="5" w:tplc="1000001B" w:tentative="1">
      <w:start w:val="1"/>
      <w:numFmt w:val="lowerRoman"/>
      <w:lvlText w:val="%6."/>
      <w:lvlJc w:val="right"/>
      <w:pPr>
        <w:ind w:left="4320" w:hanging="180"/>
      </w:pPr>
    </w:lvl>
    <w:lvl w:ilvl="6" w:tplc="1000000F" w:tentative="1">
      <w:start w:val="1"/>
      <w:numFmt w:val="decimal"/>
      <w:lvlText w:val="%7."/>
      <w:lvlJc w:val="left"/>
      <w:pPr>
        <w:ind w:left="5040" w:hanging="360"/>
      </w:pPr>
    </w:lvl>
    <w:lvl w:ilvl="7" w:tplc="10000019" w:tentative="1">
      <w:start w:val="1"/>
      <w:numFmt w:val="lowerLetter"/>
      <w:lvlText w:val="%8."/>
      <w:lvlJc w:val="left"/>
      <w:pPr>
        <w:ind w:left="5760" w:hanging="360"/>
      </w:pPr>
    </w:lvl>
    <w:lvl w:ilvl="8" w:tplc="1000001B" w:tentative="1">
      <w:start w:val="1"/>
      <w:numFmt w:val="lowerRoman"/>
      <w:lvlText w:val="%9."/>
      <w:lvlJc w:val="right"/>
      <w:pPr>
        <w:ind w:left="6480" w:hanging="180"/>
      </w:pPr>
    </w:lvl>
  </w:abstractNum>
  <w:num w:numId="1" w16cid:durableId="200865">
    <w:abstractNumId w:val="0"/>
  </w:num>
  <w:num w:numId="2" w16cid:durableId="158603857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60591"/>
    <w:rsid w:val="0002422F"/>
    <w:rsid w:val="0008663B"/>
    <w:rsid w:val="000A534C"/>
    <w:rsid w:val="000E5378"/>
    <w:rsid w:val="00197F34"/>
    <w:rsid w:val="001A5B57"/>
    <w:rsid w:val="001B44FC"/>
    <w:rsid w:val="001B52B7"/>
    <w:rsid w:val="001C7B81"/>
    <w:rsid w:val="00234B59"/>
    <w:rsid w:val="00266379"/>
    <w:rsid w:val="002672AA"/>
    <w:rsid w:val="00287DEE"/>
    <w:rsid w:val="002B4DF6"/>
    <w:rsid w:val="00357FD0"/>
    <w:rsid w:val="003A1311"/>
    <w:rsid w:val="003C6CC9"/>
    <w:rsid w:val="00402F99"/>
    <w:rsid w:val="004A0C1C"/>
    <w:rsid w:val="004D2645"/>
    <w:rsid w:val="00503B00"/>
    <w:rsid w:val="005208F9"/>
    <w:rsid w:val="00560C0E"/>
    <w:rsid w:val="005656D6"/>
    <w:rsid w:val="005B3F51"/>
    <w:rsid w:val="005D07C1"/>
    <w:rsid w:val="005D24F5"/>
    <w:rsid w:val="00603CE5"/>
    <w:rsid w:val="006349ED"/>
    <w:rsid w:val="006641BC"/>
    <w:rsid w:val="006653A4"/>
    <w:rsid w:val="006C7E07"/>
    <w:rsid w:val="006F092B"/>
    <w:rsid w:val="006F1B66"/>
    <w:rsid w:val="007665EC"/>
    <w:rsid w:val="00767105"/>
    <w:rsid w:val="00791F21"/>
    <w:rsid w:val="00822D6B"/>
    <w:rsid w:val="0086282A"/>
    <w:rsid w:val="00865924"/>
    <w:rsid w:val="00891207"/>
    <w:rsid w:val="008B5358"/>
    <w:rsid w:val="008D2FFE"/>
    <w:rsid w:val="00901811"/>
    <w:rsid w:val="0090386F"/>
    <w:rsid w:val="009268F8"/>
    <w:rsid w:val="009D202B"/>
    <w:rsid w:val="009D71AF"/>
    <w:rsid w:val="00A17EBA"/>
    <w:rsid w:val="00A23579"/>
    <w:rsid w:val="00A35EEC"/>
    <w:rsid w:val="00A562DC"/>
    <w:rsid w:val="00A83745"/>
    <w:rsid w:val="00AC1D86"/>
    <w:rsid w:val="00AD2183"/>
    <w:rsid w:val="00AD48B2"/>
    <w:rsid w:val="00B12C3E"/>
    <w:rsid w:val="00BA1922"/>
    <w:rsid w:val="00BA3050"/>
    <w:rsid w:val="00C00B93"/>
    <w:rsid w:val="00C15690"/>
    <w:rsid w:val="00C24AB0"/>
    <w:rsid w:val="00C30EAC"/>
    <w:rsid w:val="00C572F6"/>
    <w:rsid w:val="00CC705E"/>
    <w:rsid w:val="00CC7E65"/>
    <w:rsid w:val="00CD1B48"/>
    <w:rsid w:val="00CE7F14"/>
    <w:rsid w:val="00D2372D"/>
    <w:rsid w:val="00D4761A"/>
    <w:rsid w:val="00D6783F"/>
    <w:rsid w:val="00DC1C68"/>
    <w:rsid w:val="00DC7E9A"/>
    <w:rsid w:val="00DE23E9"/>
    <w:rsid w:val="00DF3252"/>
    <w:rsid w:val="00E60591"/>
    <w:rsid w:val="00E87B04"/>
    <w:rsid w:val="00EA710A"/>
    <w:rsid w:val="00EB7BFB"/>
    <w:rsid w:val="00EE2A8A"/>
    <w:rsid w:val="00EF1EF7"/>
    <w:rsid w:val="00F53EF2"/>
    <w:rsid w:val="00FD3F54"/>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EC3BCFE"/>
  <w15:chartTrackingRefBased/>
  <w15:docId w15:val="{B56D647E-9ED8-4C43-82C8-385D5266AC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15690"/>
    <w:pPr>
      <w:spacing w:before="120" w:after="120" w:line="360" w:lineRule="auto"/>
      <w:jc w:val="both"/>
    </w:pPr>
    <w:rPr>
      <w:rFonts w:ascii="Georgia" w:hAnsi="Georgia"/>
      <w:sz w:val="24"/>
      <w:lang w:val="en-US"/>
    </w:rPr>
  </w:style>
  <w:style w:type="paragraph" w:styleId="Heading1">
    <w:name w:val="heading 1"/>
    <w:basedOn w:val="Normal"/>
    <w:next w:val="Normal"/>
    <w:link w:val="Heading1Char"/>
    <w:uiPriority w:val="9"/>
    <w:qFormat/>
    <w:rsid w:val="00197F34"/>
    <w:pPr>
      <w:keepNext/>
      <w:keepLines/>
      <w:numPr>
        <w:numId w:val="1"/>
      </w:numPr>
      <w:ind w:left="0" w:firstLine="0"/>
      <w:jc w:val="left"/>
      <w:outlineLvl w:val="0"/>
    </w:pPr>
    <w:rPr>
      <w:rFonts w:eastAsiaTheme="majorEastAsia" w:cstheme="majorBidi"/>
      <w:b/>
      <w:szCs w:val="40"/>
    </w:rPr>
  </w:style>
  <w:style w:type="paragraph" w:styleId="Heading2">
    <w:name w:val="heading 2"/>
    <w:basedOn w:val="Heading1"/>
    <w:link w:val="Heading2Char"/>
    <w:uiPriority w:val="9"/>
    <w:semiHidden/>
    <w:unhideWhenUsed/>
    <w:qFormat/>
    <w:rsid w:val="00C24AB0"/>
    <w:pPr>
      <w:numPr>
        <w:numId w:val="2"/>
      </w:numPr>
      <w:jc w:val="center"/>
      <w:outlineLvl w:val="1"/>
    </w:pPr>
    <w:rPr>
      <w:szCs w:val="32"/>
    </w:rPr>
  </w:style>
  <w:style w:type="paragraph" w:styleId="Heading3">
    <w:name w:val="heading 3"/>
    <w:basedOn w:val="Normal"/>
    <w:next w:val="Normal"/>
    <w:link w:val="Heading3Char"/>
    <w:uiPriority w:val="9"/>
    <w:semiHidden/>
    <w:unhideWhenUsed/>
    <w:qFormat/>
    <w:rsid w:val="00E6059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6059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6059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6059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6059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6059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6059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97F34"/>
    <w:rPr>
      <w:rFonts w:ascii="Georgia" w:eastAsiaTheme="majorEastAsia" w:hAnsi="Georgia" w:cstheme="majorBidi"/>
      <w:b/>
      <w:sz w:val="24"/>
      <w:szCs w:val="40"/>
      <w:lang w:val="en-US"/>
    </w:rPr>
  </w:style>
  <w:style w:type="character" w:customStyle="1" w:styleId="Heading2Char">
    <w:name w:val="Heading 2 Char"/>
    <w:basedOn w:val="DefaultParagraphFont"/>
    <w:link w:val="Heading2"/>
    <w:uiPriority w:val="9"/>
    <w:semiHidden/>
    <w:rsid w:val="00C24AB0"/>
    <w:rPr>
      <w:rFonts w:ascii="Georgia" w:eastAsiaTheme="majorEastAsia" w:hAnsi="Georgia" w:cstheme="majorBidi"/>
      <w:b/>
      <w:sz w:val="24"/>
      <w:szCs w:val="32"/>
      <w:lang w:val="en-US"/>
    </w:rPr>
  </w:style>
  <w:style w:type="character" w:customStyle="1" w:styleId="Heading3Char">
    <w:name w:val="Heading 3 Char"/>
    <w:basedOn w:val="DefaultParagraphFont"/>
    <w:link w:val="Heading3"/>
    <w:uiPriority w:val="9"/>
    <w:semiHidden/>
    <w:rsid w:val="00E60591"/>
    <w:rPr>
      <w:rFonts w:eastAsiaTheme="majorEastAsia" w:cstheme="majorBidi"/>
      <w:color w:val="0F4761" w:themeColor="accent1" w:themeShade="BF"/>
      <w:sz w:val="28"/>
      <w:szCs w:val="28"/>
      <w:lang w:val="en-US"/>
    </w:rPr>
  </w:style>
  <w:style w:type="character" w:customStyle="1" w:styleId="Heading4Char">
    <w:name w:val="Heading 4 Char"/>
    <w:basedOn w:val="DefaultParagraphFont"/>
    <w:link w:val="Heading4"/>
    <w:uiPriority w:val="9"/>
    <w:semiHidden/>
    <w:rsid w:val="00E60591"/>
    <w:rPr>
      <w:rFonts w:eastAsiaTheme="majorEastAsia" w:cstheme="majorBidi"/>
      <w:i/>
      <w:iCs/>
      <w:color w:val="0F4761" w:themeColor="accent1" w:themeShade="BF"/>
      <w:lang w:val="en-US"/>
    </w:rPr>
  </w:style>
  <w:style w:type="character" w:customStyle="1" w:styleId="Heading5Char">
    <w:name w:val="Heading 5 Char"/>
    <w:basedOn w:val="DefaultParagraphFont"/>
    <w:link w:val="Heading5"/>
    <w:uiPriority w:val="9"/>
    <w:semiHidden/>
    <w:rsid w:val="00E60591"/>
    <w:rPr>
      <w:rFonts w:eastAsiaTheme="majorEastAsia" w:cstheme="majorBidi"/>
      <w:color w:val="0F4761" w:themeColor="accent1" w:themeShade="BF"/>
      <w:lang w:val="en-US"/>
    </w:rPr>
  </w:style>
  <w:style w:type="character" w:customStyle="1" w:styleId="Heading6Char">
    <w:name w:val="Heading 6 Char"/>
    <w:basedOn w:val="DefaultParagraphFont"/>
    <w:link w:val="Heading6"/>
    <w:uiPriority w:val="9"/>
    <w:semiHidden/>
    <w:rsid w:val="00E60591"/>
    <w:rPr>
      <w:rFonts w:eastAsiaTheme="majorEastAsia" w:cstheme="majorBidi"/>
      <w:i/>
      <w:iCs/>
      <w:color w:val="595959" w:themeColor="text1" w:themeTint="A6"/>
      <w:lang w:val="en-US"/>
    </w:rPr>
  </w:style>
  <w:style w:type="character" w:customStyle="1" w:styleId="Heading7Char">
    <w:name w:val="Heading 7 Char"/>
    <w:basedOn w:val="DefaultParagraphFont"/>
    <w:link w:val="Heading7"/>
    <w:uiPriority w:val="9"/>
    <w:semiHidden/>
    <w:rsid w:val="00E60591"/>
    <w:rPr>
      <w:rFonts w:eastAsiaTheme="majorEastAsia" w:cstheme="majorBidi"/>
      <w:color w:val="595959" w:themeColor="text1" w:themeTint="A6"/>
      <w:lang w:val="en-US"/>
    </w:rPr>
  </w:style>
  <w:style w:type="character" w:customStyle="1" w:styleId="Heading8Char">
    <w:name w:val="Heading 8 Char"/>
    <w:basedOn w:val="DefaultParagraphFont"/>
    <w:link w:val="Heading8"/>
    <w:uiPriority w:val="9"/>
    <w:semiHidden/>
    <w:rsid w:val="00E60591"/>
    <w:rPr>
      <w:rFonts w:eastAsiaTheme="majorEastAsia" w:cstheme="majorBidi"/>
      <w:i/>
      <w:iCs/>
      <w:color w:val="272727" w:themeColor="text1" w:themeTint="D8"/>
      <w:lang w:val="en-US"/>
    </w:rPr>
  </w:style>
  <w:style w:type="character" w:customStyle="1" w:styleId="Heading9Char">
    <w:name w:val="Heading 9 Char"/>
    <w:basedOn w:val="DefaultParagraphFont"/>
    <w:link w:val="Heading9"/>
    <w:uiPriority w:val="9"/>
    <w:semiHidden/>
    <w:rsid w:val="00E60591"/>
    <w:rPr>
      <w:rFonts w:eastAsiaTheme="majorEastAsia" w:cstheme="majorBidi"/>
      <w:color w:val="272727" w:themeColor="text1" w:themeTint="D8"/>
      <w:lang w:val="en-US"/>
    </w:rPr>
  </w:style>
  <w:style w:type="paragraph" w:styleId="Title">
    <w:name w:val="Title"/>
    <w:basedOn w:val="Normal"/>
    <w:next w:val="Normal"/>
    <w:link w:val="TitleChar"/>
    <w:uiPriority w:val="10"/>
    <w:qFormat/>
    <w:rsid w:val="006F1B66"/>
    <w:pPr>
      <w:contextualSpacing/>
      <w:jc w:val="center"/>
    </w:pPr>
    <w:rPr>
      <w:rFonts w:eastAsiaTheme="majorEastAsia" w:cstheme="majorBidi"/>
      <w:b/>
      <w:spacing w:val="-10"/>
      <w:kern w:val="28"/>
      <w:sz w:val="28"/>
      <w:szCs w:val="56"/>
    </w:rPr>
  </w:style>
  <w:style w:type="character" w:customStyle="1" w:styleId="TitleChar">
    <w:name w:val="Title Char"/>
    <w:basedOn w:val="DefaultParagraphFont"/>
    <w:link w:val="Title"/>
    <w:uiPriority w:val="10"/>
    <w:rsid w:val="006F1B66"/>
    <w:rPr>
      <w:rFonts w:ascii="Georgia" w:eastAsiaTheme="majorEastAsia" w:hAnsi="Georgia" w:cstheme="majorBidi"/>
      <w:b/>
      <w:spacing w:val="-10"/>
      <w:kern w:val="28"/>
      <w:sz w:val="28"/>
      <w:szCs w:val="56"/>
      <w:lang w:val="en-US"/>
    </w:rPr>
  </w:style>
  <w:style w:type="paragraph" w:styleId="Subtitle">
    <w:name w:val="Subtitle"/>
    <w:basedOn w:val="Normal"/>
    <w:next w:val="Normal"/>
    <w:link w:val="SubtitleChar"/>
    <w:uiPriority w:val="11"/>
    <w:qFormat/>
    <w:rsid w:val="00E6059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60591"/>
    <w:rPr>
      <w:rFonts w:eastAsiaTheme="majorEastAsia" w:cstheme="majorBidi"/>
      <w:color w:val="595959" w:themeColor="text1" w:themeTint="A6"/>
      <w:spacing w:val="15"/>
      <w:sz w:val="28"/>
      <w:szCs w:val="28"/>
      <w:lang w:val="en-US"/>
    </w:rPr>
  </w:style>
  <w:style w:type="paragraph" w:styleId="Quote">
    <w:name w:val="Quote"/>
    <w:basedOn w:val="Normal"/>
    <w:next w:val="Normal"/>
    <w:link w:val="QuoteChar"/>
    <w:uiPriority w:val="29"/>
    <w:qFormat/>
    <w:rsid w:val="00E60591"/>
    <w:pPr>
      <w:spacing w:before="160"/>
      <w:jc w:val="center"/>
    </w:pPr>
    <w:rPr>
      <w:i/>
      <w:iCs/>
      <w:color w:val="404040" w:themeColor="text1" w:themeTint="BF"/>
    </w:rPr>
  </w:style>
  <w:style w:type="character" w:customStyle="1" w:styleId="QuoteChar">
    <w:name w:val="Quote Char"/>
    <w:basedOn w:val="DefaultParagraphFont"/>
    <w:link w:val="Quote"/>
    <w:uiPriority w:val="29"/>
    <w:rsid w:val="00E60591"/>
    <w:rPr>
      <w:i/>
      <w:iCs/>
      <w:color w:val="404040" w:themeColor="text1" w:themeTint="BF"/>
      <w:lang w:val="en-US"/>
    </w:rPr>
  </w:style>
  <w:style w:type="paragraph" w:styleId="ListParagraph">
    <w:name w:val="List Paragraph"/>
    <w:basedOn w:val="Normal"/>
    <w:uiPriority w:val="34"/>
    <w:qFormat/>
    <w:rsid w:val="00E60591"/>
    <w:pPr>
      <w:ind w:left="720"/>
      <w:contextualSpacing/>
    </w:pPr>
  </w:style>
  <w:style w:type="character" w:styleId="IntenseEmphasis">
    <w:name w:val="Intense Emphasis"/>
    <w:basedOn w:val="DefaultParagraphFont"/>
    <w:uiPriority w:val="21"/>
    <w:qFormat/>
    <w:rsid w:val="00E60591"/>
    <w:rPr>
      <w:i/>
      <w:iCs/>
      <w:color w:val="0F4761" w:themeColor="accent1" w:themeShade="BF"/>
    </w:rPr>
  </w:style>
  <w:style w:type="paragraph" w:styleId="IntenseQuote">
    <w:name w:val="Intense Quote"/>
    <w:basedOn w:val="Normal"/>
    <w:next w:val="Normal"/>
    <w:link w:val="IntenseQuoteChar"/>
    <w:uiPriority w:val="30"/>
    <w:qFormat/>
    <w:rsid w:val="00E6059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60591"/>
    <w:rPr>
      <w:i/>
      <w:iCs/>
      <w:color w:val="0F4761" w:themeColor="accent1" w:themeShade="BF"/>
      <w:lang w:val="en-US"/>
    </w:rPr>
  </w:style>
  <w:style w:type="character" w:styleId="IntenseReference">
    <w:name w:val="Intense Reference"/>
    <w:basedOn w:val="DefaultParagraphFont"/>
    <w:uiPriority w:val="32"/>
    <w:qFormat/>
    <w:rsid w:val="00E60591"/>
    <w:rPr>
      <w:b/>
      <w:bCs/>
      <w:smallCaps/>
      <w:color w:val="0F4761" w:themeColor="accent1" w:themeShade="BF"/>
      <w:spacing w:val="5"/>
    </w:rPr>
  </w:style>
  <w:style w:type="paragraph" w:styleId="Bibliography">
    <w:name w:val="Bibliography"/>
    <w:basedOn w:val="Normal"/>
    <w:next w:val="Normal"/>
    <w:uiPriority w:val="37"/>
    <w:semiHidden/>
    <w:unhideWhenUsed/>
    <w:rsid w:val="00EF1EF7"/>
  </w:style>
  <w:style w:type="paragraph" w:styleId="FootnoteText">
    <w:name w:val="footnote text"/>
    <w:basedOn w:val="Normal"/>
    <w:link w:val="FootnoteTextChar"/>
    <w:uiPriority w:val="99"/>
    <w:semiHidden/>
    <w:unhideWhenUsed/>
    <w:rsid w:val="0086282A"/>
    <w:pPr>
      <w:spacing w:before="0" w:after="0" w:line="240" w:lineRule="auto"/>
    </w:pPr>
    <w:rPr>
      <w:sz w:val="20"/>
      <w:szCs w:val="20"/>
    </w:rPr>
  </w:style>
  <w:style w:type="character" w:customStyle="1" w:styleId="FootnoteTextChar">
    <w:name w:val="Footnote Text Char"/>
    <w:basedOn w:val="DefaultParagraphFont"/>
    <w:link w:val="FootnoteText"/>
    <w:uiPriority w:val="99"/>
    <w:semiHidden/>
    <w:rsid w:val="0086282A"/>
    <w:rPr>
      <w:rFonts w:ascii="Georgia" w:hAnsi="Georgia"/>
      <w:sz w:val="20"/>
      <w:szCs w:val="20"/>
      <w:lang w:val="en-US"/>
    </w:rPr>
  </w:style>
  <w:style w:type="character" w:styleId="FootnoteReference">
    <w:name w:val="footnote reference"/>
    <w:basedOn w:val="DefaultParagraphFont"/>
    <w:uiPriority w:val="99"/>
    <w:semiHidden/>
    <w:unhideWhenUsed/>
    <w:rsid w:val="0086282A"/>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E12F0BC-8F7F-49A2-8F2F-63E6D1022C3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231</TotalTime>
  <Pages>1</Pages>
  <Words>9867</Words>
  <Characters>63446</Characters>
  <Application>Microsoft Office Word</Application>
  <DocSecurity>0</DocSecurity>
  <Lines>1075</Lines>
  <Paragraphs>190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73123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Orkhan Sariyev</dc:creator>
  <cp:keywords/>
  <dc:description/>
  <cp:lastModifiedBy>Orkhan Sariyev</cp:lastModifiedBy>
  <cp:revision>62</cp:revision>
  <dcterms:created xsi:type="dcterms:W3CDTF">2025-09-03T07:45:00Z</dcterms:created>
  <dcterms:modified xsi:type="dcterms:W3CDTF">2025-09-15T08:32:00Z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zotero-version="7.0.16"&gt;&lt;session id="f55mKfAv"/&gt;&lt;style id="http://www.zotero.org/styles/apa" locale="en-US" hasBibliography="1" bibliographyStyleHasBeenSet="1"/&gt;&lt;prefs&gt;&lt;pref name="fieldType" value="Field"/&gt;&lt;/prefs&gt;&lt;/data&gt;</vt:lpwstr>
  </property>
  <property fmtid="{D5CDD505-2E9C-101B-9397-08002B2CF9AE}" pid="3" name="GrammarlyDocumentId">
    <vt:lpwstr>889a2ff7-2369-446b-bd9a-8f17c0bde5ad</vt:lpwstr>
  </property>
</Properties>
</file>