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8920" w14:textId="2E466F28" w:rsidR="00A53392" w:rsidRDefault="00000000">
      <w:pPr>
        <w:jc w:val="center"/>
      </w:pPr>
      <w:r>
        <w:rPr>
          <w:b/>
          <w:sz w:val="36"/>
        </w:rPr>
        <w:t>LAR System — Audit, Security &amp; Readiness Report — v7.3.3</w:t>
      </w:r>
    </w:p>
    <w:p w14:paraId="796B526D" w14:textId="77777777" w:rsidR="00A53392" w:rsidRDefault="00000000">
      <w:r>
        <w:t>Date: 2026-03-05 23:20 UTC</w:t>
      </w:r>
    </w:p>
    <w:p w14:paraId="11976273" w14:textId="77777777" w:rsidR="00A53392" w:rsidRDefault="00000000">
      <w:r>
        <w:t>Prepared by: Orkinosai (Dr Ismail Kucukdurgut)</w:t>
      </w:r>
    </w:p>
    <w:p w14:paraId="5DBCB654" w14:textId="77777777" w:rsidR="00A53392" w:rsidRDefault="00000000">
      <w:r>
        <w:t>Classification: CONFIDENTIAL — INTERNAL USE ONLY</w:t>
      </w:r>
    </w:p>
    <w:p w14:paraId="2664F4B3" w14:textId="77777777" w:rsidR="00A53392" w:rsidRDefault="00000000">
      <w:pPr>
        <w:pStyle w:val="Heading1"/>
      </w:pPr>
      <w:bookmarkStart w:id="0" w:name="_Toc223667418"/>
      <w:r>
        <w:t>Executive Summary</w:t>
      </w:r>
      <w:bookmarkEnd w:id="0"/>
    </w:p>
    <w:p w14:paraId="4CF0250E" w14:textId="77777777" w:rsidR="00A53392" w:rsidRDefault="00000000">
      <w:r>
        <w:t>Status: NOT PRODUCTION‑READY. A sequenced programme is required to close P0/P1 security risks, restore transactional integrity, achieve PCI/GDPR/POPIA conformance, and hit UX/performance targets. Go‑live is Conditional with artifact‑based gates in CI and operational dashboards.</w:t>
      </w:r>
    </w:p>
    <w:sdt>
      <w:sdtPr>
        <w:id w:val="-2019610098"/>
        <w:docPartObj>
          <w:docPartGallery w:val="Table of Contents"/>
          <w:docPartUnique/>
        </w:docPartObj>
      </w:sdtPr>
      <w:sdtEndPr>
        <w:rPr>
          <w:rFonts w:ascii="Calibri" w:eastAsia="Calibri" w:hAnsi="Calibri" w:cstheme="minorBidi"/>
          <w:noProof/>
          <w:color w:val="auto"/>
          <w:sz w:val="22"/>
          <w:szCs w:val="22"/>
        </w:rPr>
      </w:sdtEndPr>
      <w:sdtContent>
        <w:p w14:paraId="7A7D555B" w14:textId="71ED9DE9" w:rsidR="00C2609E" w:rsidRDefault="00C2609E">
          <w:pPr>
            <w:pStyle w:val="TOCHeading"/>
          </w:pPr>
          <w:r>
            <w:t>Contents</w:t>
          </w:r>
        </w:p>
        <w:p w14:paraId="5502A71E" w14:textId="1AC5E684" w:rsidR="00C2609E" w:rsidRDefault="00C2609E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67418" w:history="1">
            <w:r w:rsidRPr="00D532FA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21904" w14:textId="05806E6D" w:rsidR="00C2609E" w:rsidRDefault="00C2609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3667419" w:history="1">
            <w:r w:rsidRPr="00D532FA">
              <w:rPr>
                <w:rStyle w:val="Hyperlink"/>
                <w:noProof/>
              </w:rPr>
              <w:t>1. Security Vulnerabilities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6969A" w14:textId="787A1385" w:rsidR="00C2609E" w:rsidRDefault="00C2609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3667420" w:history="1">
            <w:r w:rsidRPr="00D532FA">
              <w:rPr>
                <w:rStyle w:val="Hyperlink"/>
                <w:noProof/>
              </w:rPr>
              <w:t>2. UI/UX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C7E39" w14:textId="3DE3A5B8" w:rsidR="00C2609E" w:rsidRDefault="00C2609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3667421" w:history="1">
            <w:r w:rsidRPr="00D532FA">
              <w:rPr>
                <w:rStyle w:val="Hyperlink"/>
                <w:noProof/>
              </w:rPr>
              <w:t>3. Compliance Gaps (PCI/GDPR/POPIA)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2EFE0" w14:textId="3CA551A9" w:rsidR="00C2609E" w:rsidRDefault="00C2609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3667422" w:history="1">
            <w:r w:rsidRPr="00D532FA">
              <w:rPr>
                <w:rStyle w:val="Hyperlink"/>
                <w:noProof/>
              </w:rPr>
              <w:t>4. Performance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953CB" w14:textId="3B500C13" w:rsidR="00C2609E" w:rsidRDefault="00C2609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3667423" w:history="1">
            <w:r w:rsidRPr="00D532FA">
              <w:rPr>
                <w:rStyle w:val="Hyperlink"/>
                <w:noProof/>
              </w:rPr>
              <w:t>5. Vertical Deep</w:t>
            </w:r>
            <w:r w:rsidRPr="00D532FA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532FA">
              <w:rPr>
                <w:rStyle w:val="Hyperlink"/>
                <w:noProof/>
              </w:rPr>
              <w:t xml:space="preserve">Dives </w:t>
            </w:r>
            <w:r w:rsidRPr="00D532FA">
              <w:rPr>
                <w:rStyle w:val="Hyperlink"/>
                <w:rFonts w:cs="Calibri"/>
                <w:noProof/>
              </w:rPr>
              <w:t>—</w:t>
            </w:r>
            <w:r w:rsidRPr="00D532FA">
              <w:rPr>
                <w:rStyle w:val="Hyperlink"/>
                <w:noProof/>
              </w:rPr>
              <w:t xml:space="preserve"> Controls to Evidence (All 6 Lines of Business)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07C06" w14:textId="61D36E25" w:rsidR="00C2609E" w:rsidRDefault="00C2609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3667424" w:history="1">
            <w:r w:rsidRPr="00D532FA">
              <w:rPr>
                <w:rStyle w:val="Hyperlink"/>
                <w:noProof/>
              </w:rPr>
              <w:t>5.x Flights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2AD85" w14:textId="25E7603A" w:rsidR="00C2609E" w:rsidRDefault="00C2609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3667425" w:history="1">
            <w:r w:rsidRPr="00D532FA">
              <w:rPr>
                <w:rStyle w:val="Hyperlink"/>
                <w:noProof/>
              </w:rPr>
              <w:t>5.x Hotels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7C220" w14:textId="5451F4A2" w:rsidR="00C2609E" w:rsidRDefault="00C2609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3667426" w:history="1">
            <w:r w:rsidRPr="00D532FA">
              <w:rPr>
                <w:rStyle w:val="Hyperlink"/>
                <w:noProof/>
              </w:rPr>
              <w:t>5.x Cars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F1FEA" w14:textId="3C7BC4FD" w:rsidR="00C2609E" w:rsidRDefault="00C2609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3667427" w:history="1">
            <w:r w:rsidRPr="00D532FA">
              <w:rPr>
                <w:rStyle w:val="Hyperlink"/>
                <w:noProof/>
              </w:rPr>
              <w:t>5.x Cruises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8291F" w14:textId="1F814602" w:rsidR="00C2609E" w:rsidRDefault="00C2609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3667428" w:history="1">
            <w:r w:rsidRPr="00D532FA">
              <w:rPr>
                <w:rStyle w:val="Hyperlink"/>
                <w:noProof/>
              </w:rPr>
              <w:t>5.x Private Aviation (Jet/Heli)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E97A7" w14:textId="47E3E58F" w:rsidR="00C2609E" w:rsidRDefault="00C2609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3667429" w:history="1">
            <w:r w:rsidRPr="00D532FA">
              <w:rPr>
                <w:rStyle w:val="Hyperlink"/>
                <w:noProof/>
              </w:rPr>
              <w:t>5.x Private Boats &amp; Yachts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CB238" w14:textId="17E4092E" w:rsidR="00C2609E" w:rsidRDefault="00C2609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3667430" w:history="1">
            <w:r w:rsidRPr="00D532FA">
              <w:rPr>
                <w:rStyle w:val="Hyperlink"/>
                <w:noProof/>
              </w:rPr>
              <w:t>6. Data Protection &amp; Compliance (PCI DSS / GDPR / POPIA)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DCBEF" w14:textId="31661E96" w:rsidR="00C2609E" w:rsidRDefault="00C2609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3667431" w:history="1">
            <w:r w:rsidRPr="00D532FA">
              <w:rPr>
                <w:rStyle w:val="Hyperlink"/>
                <w:noProof/>
              </w:rPr>
              <w:t>7. Identity &amp; Registration Modernisation (New Onboarding)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57580" w14:textId="45BD54E9" w:rsidR="00C2609E" w:rsidRDefault="00C2609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3667432" w:history="1">
            <w:r w:rsidRPr="00D532FA">
              <w:rPr>
                <w:rStyle w:val="Hyperlink"/>
                <w:rFonts w:ascii="Segoe UI" w:eastAsia="Segoe UI" w:hAnsi="Segoe UI" w:cs="Segoe UI"/>
                <w:noProof/>
              </w:rPr>
              <w:t xml:space="preserve">7.1 Current capability check — </w:t>
            </w:r>
            <w:r w:rsidRPr="00D532FA">
              <w:rPr>
                <w:rStyle w:val="Hyperlink"/>
                <w:rFonts w:ascii="Segoe UI" w:eastAsia="Segoe UI" w:hAnsi="Segoe UI" w:cs="Segoe UI"/>
                <w:i/>
                <w:iCs/>
                <w:noProof/>
              </w:rPr>
              <w:t>Does the vendor code have this?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99C00" w14:textId="4913F982" w:rsidR="00C2609E" w:rsidRDefault="00C2609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3667433" w:history="1">
            <w:r w:rsidRPr="00D532FA">
              <w:rPr>
                <w:rStyle w:val="Hyperlink"/>
                <w:rFonts w:ascii="Segoe UI" w:eastAsia="Segoe UI" w:hAnsi="Segoe UI" w:cs="Segoe UI"/>
                <w:noProof/>
              </w:rPr>
              <w:t>7.2 Business case — quick, convenient, and no passwords kept by 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26012" w14:textId="2B11E747" w:rsidR="00C2609E" w:rsidRDefault="00C2609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3667434" w:history="1">
            <w:r w:rsidRPr="00D532FA">
              <w:rPr>
                <w:rStyle w:val="Hyperlink"/>
                <w:rFonts w:ascii="Segoe UI" w:eastAsia="Segoe UI" w:hAnsi="Segoe UI" w:cs="Segoe UI"/>
                <w:noProof/>
              </w:rPr>
              <w:t>7.3 Front‑end surfaces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C9BF5" w14:textId="4E67FC75" w:rsidR="00C2609E" w:rsidRDefault="00C2609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3667435" w:history="1">
            <w:r w:rsidRPr="00D532FA">
              <w:rPr>
                <w:rStyle w:val="Hyperlink"/>
                <w:rFonts w:ascii="Segoe UI" w:eastAsia="Segoe UI" w:hAnsi="Segoe UI" w:cs="Segoe UI"/>
                <w:noProof/>
              </w:rPr>
              <w:t>7.4 Back‑end architecture — authentication delegation (no passwords stored)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7E4EF" w14:textId="517A2AF7" w:rsidR="00C2609E" w:rsidRDefault="00C2609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3667436" w:history="1">
            <w:r w:rsidRPr="00D532FA">
              <w:rPr>
                <w:rStyle w:val="Hyperlink"/>
                <w:rFonts w:ascii="Segoe UI" w:eastAsia="Segoe UI" w:hAnsi="Segoe UI" w:cs="Segoe UI"/>
                <w:noProof/>
              </w:rPr>
              <w:t>7.5 KPIs, instrumentation &amp;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6AA59" w14:textId="65A15730" w:rsidR="00C2609E" w:rsidRDefault="00C2609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3667437" w:history="1">
            <w:r w:rsidRPr="00D532FA">
              <w:rPr>
                <w:rStyle w:val="Hyperlink"/>
                <w:rFonts w:ascii="Segoe UI" w:eastAsia="Segoe UI" w:hAnsi="Segoe UI" w:cs="Segoe UI"/>
                <w:noProof/>
              </w:rPr>
              <w:t>7.6 14‑day implementation plan (no pricing)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1E62E" w14:textId="4092D94E" w:rsidR="00C2609E" w:rsidRDefault="00C2609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3667438" w:history="1">
            <w:r w:rsidRPr="00D532FA">
              <w:rPr>
                <w:rStyle w:val="Hyperlink"/>
                <w:rFonts w:ascii="Segoe UI" w:eastAsia="Segoe UI" w:hAnsi="Segoe UI" w:cs="Segoe UI"/>
                <w:noProof/>
              </w:rPr>
              <w:t>7.7 Governance &amp; privacy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86859" w14:textId="1BCD1517" w:rsidR="00C2609E" w:rsidRDefault="00C2609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3667439" w:history="1">
            <w:r w:rsidRPr="00D532FA">
              <w:rPr>
                <w:rStyle w:val="Hyperlink"/>
                <w:noProof/>
              </w:rPr>
              <w:t>8. Remediation Programme &amp; Evidence Gates (No Pricing)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7FF11" w14:textId="411F3C3C" w:rsidR="00C2609E" w:rsidRDefault="00C2609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3667440" w:history="1">
            <w:r w:rsidRPr="00D532FA">
              <w:rPr>
                <w:rStyle w:val="Hyperlink"/>
                <w:noProof/>
              </w:rPr>
              <w:t>9. CI/CD Evidence Pack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0F5C1" w14:textId="2565EF2A" w:rsidR="00C2609E" w:rsidRDefault="00C2609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3667441" w:history="1">
            <w:r w:rsidRPr="00D532FA">
              <w:rPr>
                <w:rStyle w:val="Hyperlink"/>
                <w:noProof/>
              </w:rPr>
              <w:t>Annex A — Executive Summary (Embedded)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0F15C" w14:textId="348F1054" w:rsidR="00C2609E" w:rsidRDefault="00C2609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3667442" w:history="1">
            <w:r w:rsidRPr="00D532FA">
              <w:rPr>
                <w:rStyle w:val="Hyperlink"/>
                <w:noProof/>
              </w:rPr>
              <w:t>Annex B — Remediation Roadmap (Embedded)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84731" w14:textId="0C4CBE0C" w:rsidR="00C2609E" w:rsidRDefault="00C2609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3667443" w:history="1">
            <w:r w:rsidRPr="00D532FA">
              <w:rPr>
                <w:rStyle w:val="Hyperlink"/>
                <w:noProof/>
              </w:rPr>
              <w:t>Annex C — Quick Reference: Top Risks (Embedded)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FE471" w14:textId="273FC686" w:rsidR="00C2609E" w:rsidRDefault="00C2609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3667444" w:history="1">
            <w:r w:rsidRPr="00D532FA">
              <w:rPr>
                <w:rStyle w:val="Hyperlink"/>
                <w:noProof/>
              </w:rPr>
              <w:t>Annex D — Development Plan (Embedded, No Pricing)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B7B06" w14:textId="7419EC22" w:rsidR="00C2609E" w:rsidRDefault="00C2609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3667445" w:history="1">
            <w:r w:rsidRPr="00D532FA">
              <w:rPr>
                <w:rStyle w:val="Hyperlink"/>
                <w:noProof/>
              </w:rPr>
              <w:t>Annex E — Visual Audit Checklist (Embedded)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B7158" w14:textId="7BA80DB2" w:rsidR="00C2609E" w:rsidRDefault="00C2609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3667446" w:history="1">
            <w:r w:rsidRPr="00D532FA">
              <w:rPr>
                <w:rStyle w:val="Hyperlink"/>
                <w:noProof/>
              </w:rPr>
              <w:t>Annex F — Visual Audit Guide (Embedded)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8007B" w14:textId="39A7906E" w:rsidR="00C2609E" w:rsidRDefault="00C2609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3667447" w:history="1">
            <w:r w:rsidRPr="00D532FA">
              <w:rPr>
                <w:rStyle w:val="Hyperlink"/>
                <w:noProof/>
              </w:rPr>
              <w:t>Annex G — Visual Modernisation Mockups Summary (Embedded)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73B6A" w14:textId="392EFCB2" w:rsidR="00C2609E" w:rsidRDefault="00C2609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3667448" w:history="1">
            <w:r w:rsidRPr="00D532FA">
              <w:rPr>
                <w:rStyle w:val="Hyperlink"/>
                <w:noProof/>
              </w:rPr>
              <w:t>Go</w:t>
            </w:r>
            <w:r w:rsidRPr="00D532FA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532FA">
              <w:rPr>
                <w:rStyle w:val="Hyperlink"/>
                <w:noProof/>
              </w:rPr>
              <w:t>Live Decision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_Toc223667448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073DA" w14:textId="5AA11D4B" w:rsidR="00C2609E" w:rsidRDefault="00C2609E">
          <w:r>
            <w:rPr>
              <w:b/>
              <w:bCs/>
              <w:noProof/>
            </w:rPr>
            <w:fldChar w:fldCharType="end"/>
          </w:r>
        </w:p>
      </w:sdtContent>
    </w:sdt>
    <w:p w14:paraId="5D703085" w14:textId="0427809A" w:rsidR="00A53392" w:rsidRDefault="00000000">
      <w:pPr>
        <w:pStyle w:val="ListNumber"/>
      </w:pPr>
      <w:r>
        <w:br/>
      </w:r>
    </w:p>
    <w:p w14:paraId="15A858DC" w14:textId="77777777" w:rsidR="00A53392" w:rsidRDefault="00000000">
      <w:pPr>
        <w:pStyle w:val="Heading1"/>
      </w:pPr>
      <w:bookmarkStart w:id="1" w:name="_Toc223667419"/>
      <w:r>
        <w:t>1. Security Vulnerabilities</w:t>
      </w:r>
      <w:bookmarkEnd w:id="1"/>
    </w:p>
    <w:p w14:paraId="7E817B45" w14:textId="77777777" w:rsidR="00A53392" w:rsidRDefault="00000000">
      <w:r>
        <w:t>• Verbose error exposure in payment/booking flows (P0)</w:t>
      </w:r>
    </w:p>
    <w:p w14:paraId="25FDB73E" w14:textId="77777777" w:rsidR="00A53392" w:rsidRDefault="00000000">
      <w:r>
        <w:t xml:space="preserve">  Control &amp; Evidence: Central error handler; generic UI only; verbose output to file logs; redact PII. Evidence: screenshots; log excerpts; CI artifacts.</w:t>
      </w:r>
    </w:p>
    <w:p w14:paraId="168A9A02" w14:textId="77777777" w:rsidR="00A53392" w:rsidRDefault="00000000">
      <w:r>
        <w:t>• Plaintext/embedded secrets (P0)</w:t>
      </w:r>
    </w:p>
    <w:p w14:paraId="2001E1E5" w14:textId="77777777" w:rsidR="00A53392" w:rsidRDefault="00000000">
      <w:r>
        <w:t xml:space="preserve">  Control &amp; Evidence: Env vars + secret store; rotate keys. Evidence: grep report; secret store config; rotation logs.</w:t>
      </w:r>
    </w:p>
    <w:p w14:paraId="3778598C" w14:textId="77777777" w:rsidR="00A53392" w:rsidRDefault="00000000">
      <w:r>
        <w:t>• Legacy/weak password hashing (P0)</w:t>
      </w:r>
    </w:p>
    <w:p w14:paraId="599A6A33" w14:textId="77777777" w:rsidR="00A53392" w:rsidRDefault="00000000">
      <w:r>
        <w:t xml:space="preserve">  Control &amp; Evidence: Argon2id/bcrypt with progressive rehash. Evidence: code diff; unit tests; rehash logs.</w:t>
      </w:r>
    </w:p>
    <w:p w14:paraId="1610EEEF" w14:textId="77777777" w:rsidR="00A53392" w:rsidRDefault="00000000">
      <w:r>
        <w:t>• Dynamic SQL paths (SQLi risk) (P0)</w:t>
      </w:r>
    </w:p>
    <w:p w14:paraId="75EDA9D5" w14:textId="77777777" w:rsidR="00A53392" w:rsidRDefault="00000000">
      <w:r>
        <w:t xml:space="preserve">  Control &amp; Evidence: Prepared statements/query builder; input validation. Evidence: code diff; static scan zero‑criticals; pen‑test closure.</w:t>
      </w:r>
    </w:p>
    <w:p w14:paraId="3BB01EB6" w14:textId="77777777" w:rsidR="00A53392" w:rsidRDefault="00000000">
      <w:r>
        <w:lastRenderedPageBreak/>
        <w:t>• Missing/partial CSRF &amp; cookie flags (P1)</w:t>
      </w:r>
    </w:p>
    <w:p w14:paraId="1F955CAD" w14:textId="77777777" w:rsidR="00A53392" w:rsidRDefault="00000000">
      <w:r>
        <w:t xml:space="preserve">  Control &amp; Evidence: CSRF tokens; HttpOnly/Secure/SameSite cookies. Evidence: middleware config; automated tests.</w:t>
      </w:r>
    </w:p>
    <w:p w14:paraId="70D90469" w14:textId="77777777" w:rsidR="00A53392" w:rsidRDefault="00000000">
      <w:r>
        <w:t>• Output encoding gaps (XSS) (P1)</w:t>
      </w:r>
    </w:p>
    <w:p w14:paraId="55EC9A93" w14:textId="77777777" w:rsidR="00A53392" w:rsidRDefault="00000000">
      <w:r>
        <w:t xml:space="preserve">  Control &amp; Evidence: Context‑aware encoding + baseline CSP. Evidence: template review; CSP header; E2E XSS tests.</w:t>
      </w:r>
    </w:p>
    <w:p w14:paraId="250B1FAB" w14:textId="77777777" w:rsidR="00A53392" w:rsidRDefault="00000000">
      <w:r>
        <w:t>• No idempotency on POST (P0)</w:t>
      </w:r>
    </w:p>
    <w:p w14:paraId="13D2EBA4" w14:textId="77777777" w:rsidR="00A53392" w:rsidRDefault="00000000">
      <w:r>
        <w:t xml:space="preserve">  Control &amp; Evidence: Idempotency‑Key + server‑side store. Evidence: retry tests with single effect; stored keys audit.</w:t>
      </w:r>
    </w:p>
    <w:p w14:paraId="37D735F9" w14:textId="77777777" w:rsidR="00A53392" w:rsidRDefault="00000000">
      <w:pPr>
        <w:pStyle w:val="Heading1"/>
      </w:pPr>
      <w:bookmarkStart w:id="2" w:name="_Toc223667420"/>
      <w:r>
        <w:t>2. UI/UX Findings</w:t>
      </w:r>
      <w:bookmarkEnd w:id="2"/>
    </w:p>
    <w:p w14:paraId="5C9B6BA1" w14:textId="77777777" w:rsidR="00A53392" w:rsidRDefault="00000000">
      <w:r>
        <w:t>• Checkout: reduce 6 steps → 3; add real‑time validation and auto‑save to lower abandonment.</w:t>
      </w:r>
    </w:p>
    <w:p w14:paraId="33C753AA" w14:textId="77777777" w:rsidR="00A53392" w:rsidRDefault="00000000">
      <w:r>
        <w:t>• Search: add airline/price/time filters + sorting; mobile‑first layout.</w:t>
      </w:r>
    </w:p>
    <w:p w14:paraId="36F04E94" w14:textId="77777777" w:rsidR="00A53392" w:rsidRDefault="00000000">
      <w:r>
        <w:t>• Consistent error/empty states with clear recovery actions.</w:t>
      </w:r>
    </w:p>
    <w:p w14:paraId="3FC6E778" w14:textId="77777777" w:rsidR="00A53392" w:rsidRDefault="00000000">
      <w:pPr>
        <w:pStyle w:val="Heading1"/>
      </w:pPr>
      <w:bookmarkStart w:id="3" w:name="_Toc223667421"/>
      <w:r>
        <w:t>3. Compliance Gaps (PCI/GDPR/POPIA)</w:t>
      </w:r>
      <w:bookmarkEnd w:id="3"/>
    </w:p>
    <w:p w14:paraId="27F255FC" w14:textId="77777777" w:rsidR="00A53392" w:rsidRDefault="00000000">
      <w:r>
        <w:t>• PCI scope reduction; tokenised payments; secure SDLC; logging/monitoring.</w:t>
      </w:r>
    </w:p>
    <w:p w14:paraId="7A8E1A86" w14:textId="77777777" w:rsidR="00A53392" w:rsidRDefault="00000000">
      <w:r>
        <w:t>• GDPR workflows for consent, minimisation, retention/erasure, DSARs, breach notice.</w:t>
      </w:r>
    </w:p>
    <w:p w14:paraId="6F05F0A2" w14:textId="77777777" w:rsidR="00A53392" w:rsidRDefault="00000000">
      <w:r>
        <w:t>• POPIA safeguards and incident processes.</w:t>
      </w:r>
    </w:p>
    <w:p w14:paraId="550692A0" w14:textId="77777777" w:rsidR="00A53392" w:rsidRDefault="00000000">
      <w:pPr>
        <w:pStyle w:val="Heading1"/>
      </w:pPr>
      <w:bookmarkStart w:id="4" w:name="_Toc223667422"/>
      <w:r>
        <w:t>4. Performance Issues</w:t>
      </w:r>
      <w:bookmarkEnd w:id="4"/>
    </w:p>
    <w:p w14:paraId="7220C4FC" w14:textId="77777777" w:rsidR="00A53392" w:rsidRDefault="00000000">
      <w:r>
        <w:t>• Homepage: &lt;1s LCP via CDN/caching, image optimisation, minification.</w:t>
      </w:r>
    </w:p>
    <w:p w14:paraId="0BC8F263" w14:textId="77777777" w:rsidR="00A53392" w:rsidRDefault="00000000">
      <w:r>
        <w:t>• DB: query tuning &amp; indexing for search/results performance.</w:t>
      </w:r>
    </w:p>
    <w:p w14:paraId="692DA4AD" w14:textId="77777777" w:rsidR="00A53392" w:rsidRDefault="00000000">
      <w:r>
        <w:t>• Front‑end bundles: code‑split, tree‑shake, lazy‑load for mobile speed.</w:t>
      </w:r>
    </w:p>
    <w:p w14:paraId="2A4D5F1C" w14:textId="77777777" w:rsidR="00A53392" w:rsidRDefault="00000000">
      <w:pPr>
        <w:pStyle w:val="Heading1"/>
      </w:pPr>
      <w:bookmarkStart w:id="5" w:name="_Toc223667423"/>
      <w:r>
        <w:t>5. Vertical Deep‑Dives — Controls to Evidence (All 6 Lines of Business)</w:t>
      </w:r>
      <w:bookmarkEnd w:id="5"/>
    </w:p>
    <w:p w14:paraId="55EA9424" w14:textId="77777777" w:rsidR="00A53392" w:rsidRDefault="00000000">
      <w:pPr>
        <w:pStyle w:val="Heading2"/>
      </w:pPr>
      <w:bookmarkStart w:id="6" w:name="_Toc223667424"/>
      <w:r>
        <w:t>5.x Flights</w:t>
      </w:r>
      <w:bookmarkEnd w:id="6"/>
    </w:p>
    <w:p w14:paraId="3AA57426" w14:textId="77777777" w:rsidR="00A53392" w:rsidRDefault="00000000">
      <w:r>
        <w:t>• Atomicity &amp; compensation (no ticketing on partial failure); auto‑void/refund.</w:t>
      </w:r>
    </w:p>
    <w:p w14:paraId="0EA8401A" w14:textId="77777777" w:rsidR="00A53392" w:rsidRDefault="00000000">
      <w:r>
        <w:t>• Final repricing &amp; TTL alignment at checkout; pre‑payment warnings on fare change.</w:t>
      </w:r>
    </w:p>
    <w:p w14:paraId="3FEE4840" w14:textId="77777777" w:rsidR="00A53392" w:rsidRDefault="00000000">
      <w:r>
        <w:lastRenderedPageBreak/>
        <w:t>• PNR integrity &amp; lifecycle audit trail.</w:t>
      </w:r>
    </w:p>
    <w:p w14:paraId="0BFAB824" w14:textId="77777777" w:rsidR="00A53392" w:rsidRDefault="00000000">
      <w:r>
        <w:t xml:space="preserve">  Evidence: CI replays, supplier/API traces, screenshots/emails, and audit‑trail extracts per scenario.</w:t>
      </w:r>
    </w:p>
    <w:p w14:paraId="0E2016C1" w14:textId="77777777" w:rsidR="00A53392" w:rsidRDefault="00000000">
      <w:pPr>
        <w:pStyle w:val="Heading2"/>
      </w:pPr>
      <w:bookmarkStart w:id="7" w:name="_Toc223667425"/>
      <w:r>
        <w:t>5.x Hotels</w:t>
      </w:r>
      <w:bookmarkEnd w:id="7"/>
    </w:p>
    <w:p w14:paraId="7C89CD68" w14:textId="77777777" w:rsidR="00A53392" w:rsidRDefault="00000000">
      <w:r>
        <w:t>• HK/HL/UC correctness; never show Confirmed before HK; render HL/UC distinctly.</w:t>
      </w:r>
    </w:p>
    <w:p w14:paraId="74976D23" w14:textId="77777777" w:rsidR="00A53392" w:rsidRDefault="00000000">
      <w:r>
        <w:t>• Rollback on partial confirmation for multi‑room/packages.</w:t>
      </w:r>
    </w:p>
    <w:p w14:paraId="17A7E542" w14:textId="77777777" w:rsidR="00A53392" w:rsidRDefault="00000000">
      <w:r>
        <w:t>• Transparent penalties &amp; modification flow with repricing + reconfirmation.</w:t>
      </w:r>
    </w:p>
    <w:p w14:paraId="344DD3BB" w14:textId="77777777" w:rsidR="00A53392" w:rsidRDefault="00000000">
      <w:r>
        <w:t xml:space="preserve">  Evidence: CI replays, supplier/API traces, screenshots/emails, and audit‑trail extracts per scenario.</w:t>
      </w:r>
    </w:p>
    <w:p w14:paraId="4118F11F" w14:textId="77777777" w:rsidR="00A53392" w:rsidRDefault="00000000">
      <w:pPr>
        <w:pStyle w:val="Heading2"/>
      </w:pPr>
      <w:bookmarkStart w:id="8" w:name="_Toc223667426"/>
      <w:r>
        <w:t>5.x Cars</w:t>
      </w:r>
      <w:bookmarkEnd w:id="8"/>
    </w:p>
    <w:p w14:paraId="259031F5" w14:textId="77777777" w:rsidR="00A53392" w:rsidRDefault="00000000">
      <w:r>
        <w:t>• Pre‑checkout rate/availability verification; stale‑cache protection.</w:t>
      </w:r>
    </w:p>
    <w:p w14:paraId="7D2BF542" w14:textId="77777777" w:rsidR="00A53392" w:rsidRDefault="00000000">
      <w:r>
        <w:t xml:space="preserve">• Policy/no‑show </w:t>
      </w:r>
      <w:proofErr w:type="gramStart"/>
      <w:r>
        <w:t>disclosures;</w:t>
      </w:r>
      <w:proofErr w:type="gramEnd"/>
      <w:r>
        <w:t xml:space="preserve"> audit trail.</w:t>
      </w:r>
    </w:p>
    <w:p w14:paraId="41E094AE" w14:textId="77777777" w:rsidR="00A53392" w:rsidRDefault="00000000">
      <w:r>
        <w:t xml:space="preserve">  Evidence: CI replays, supplier/API traces, screenshots/emails, and audit‑trail extracts per scenario.</w:t>
      </w:r>
    </w:p>
    <w:p w14:paraId="74F97C7E" w14:textId="77777777" w:rsidR="00A53392" w:rsidRDefault="00000000">
      <w:pPr>
        <w:pStyle w:val="Heading2"/>
      </w:pPr>
      <w:bookmarkStart w:id="9" w:name="_Toc223667427"/>
      <w:r>
        <w:t>5.x Cruises</w:t>
      </w:r>
      <w:bookmarkEnd w:id="9"/>
    </w:p>
    <w:p w14:paraId="7353D9B7" w14:textId="77777777" w:rsidR="00A53392" w:rsidRDefault="00000000">
      <w:r>
        <w:t xml:space="preserve">• Cabin holds with TTL &amp; </w:t>
      </w:r>
      <w:proofErr w:type="gramStart"/>
      <w:r>
        <w:t>release;</w:t>
      </w:r>
      <w:proofErr w:type="gramEnd"/>
      <w:r>
        <w:t xml:space="preserve"> consistent timers.</w:t>
      </w:r>
    </w:p>
    <w:p w14:paraId="28D31567" w14:textId="77777777" w:rsidR="00A53392" w:rsidRDefault="00000000">
      <w:r>
        <w:t>• Ancillaries cascade/refunds on change/cancel.</w:t>
      </w:r>
    </w:p>
    <w:p w14:paraId="435E8DC9" w14:textId="77777777" w:rsidR="00A53392" w:rsidRDefault="00000000">
      <w:r>
        <w:t>• Port fees/taxes final repricing with breakdown + disclosures.</w:t>
      </w:r>
    </w:p>
    <w:p w14:paraId="4E85915C" w14:textId="77777777" w:rsidR="00A53392" w:rsidRDefault="00000000">
      <w:r>
        <w:t xml:space="preserve">  Evidence: CI replays, supplier/API traces, screenshots/emails, and audit‑trail extracts per scenario.</w:t>
      </w:r>
    </w:p>
    <w:p w14:paraId="08658C26" w14:textId="77777777" w:rsidR="00A53392" w:rsidRDefault="00000000">
      <w:pPr>
        <w:pStyle w:val="Heading2"/>
      </w:pPr>
      <w:bookmarkStart w:id="10" w:name="_Toc223667428"/>
      <w:r>
        <w:t>5.x Private Aviation (Jet/Heli)</w:t>
      </w:r>
      <w:bookmarkEnd w:id="10"/>
    </w:p>
    <w:p w14:paraId="7F4221AF" w14:textId="77777777" w:rsidR="00A53392" w:rsidRDefault="00000000">
      <w:r>
        <w:t>• Quote→Hold→Contract; immutable contract snapshot.</w:t>
      </w:r>
    </w:p>
    <w:p w14:paraId="53C11171" w14:textId="77777777" w:rsidR="00A53392" w:rsidRDefault="00000000">
      <w:r>
        <w:t>• Slots/FBO/crew duty feasibility before funds.</w:t>
      </w:r>
    </w:p>
    <w:p w14:paraId="27749A3A" w14:textId="77777777" w:rsidR="00A53392" w:rsidRDefault="00000000">
      <w:r>
        <w:t>• High‑value FX locks; KYC &amp; document checks.</w:t>
      </w:r>
    </w:p>
    <w:p w14:paraId="48FCC38C" w14:textId="77777777" w:rsidR="00A53392" w:rsidRDefault="00000000">
      <w:r>
        <w:t xml:space="preserve">  Evidence: CI replays, supplier/API traces, screenshots/emails, and audit‑trail extracts per scenario.</w:t>
      </w:r>
    </w:p>
    <w:p w14:paraId="7BF90901" w14:textId="77777777" w:rsidR="00A53392" w:rsidRDefault="00000000">
      <w:pPr>
        <w:pStyle w:val="Heading2"/>
      </w:pPr>
      <w:bookmarkStart w:id="11" w:name="_Toc223667429"/>
      <w:r>
        <w:t>5.x Private Boats &amp; Yachts</w:t>
      </w:r>
      <w:bookmarkEnd w:id="11"/>
    </w:p>
    <w:p w14:paraId="1C5FA1DD" w14:textId="77777777" w:rsidR="00A53392" w:rsidRDefault="00000000">
      <w:r>
        <w:t>• Berth/permit integrity before confirmation.</w:t>
      </w:r>
    </w:p>
    <w:p w14:paraId="6E08E267" w14:textId="77777777" w:rsidR="00A53392" w:rsidRDefault="00000000">
      <w:r>
        <w:t>• Deposits/fuel/cleaning policy disclosure/enforcement.</w:t>
      </w:r>
    </w:p>
    <w:p w14:paraId="231E0137" w14:textId="77777777" w:rsidR="00A53392" w:rsidRDefault="00000000">
      <w:r>
        <w:lastRenderedPageBreak/>
        <w:t>• Idempotent amendments; safety docs with expiry alerts.</w:t>
      </w:r>
    </w:p>
    <w:p w14:paraId="7EC4B75A" w14:textId="77777777" w:rsidR="00A53392" w:rsidRDefault="00000000">
      <w:r>
        <w:t xml:space="preserve">  Evidence: CI replays, supplier/API traces, screenshots/emails, and audit‑trail extracts per scenario.</w:t>
      </w:r>
    </w:p>
    <w:p w14:paraId="36EAFBEB" w14:textId="77777777" w:rsidR="00A53392" w:rsidRDefault="00000000">
      <w:pPr>
        <w:pStyle w:val="Heading1"/>
      </w:pPr>
      <w:bookmarkStart w:id="12" w:name="_Toc223667430"/>
      <w:r>
        <w:t>6. Data Protection &amp; Compliance (PCI DSS / GDPR / POPIA)</w:t>
      </w:r>
      <w:bookmarkEnd w:id="12"/>
    </w:p>
    <w:p w14:paraId="076B5E55" w14:textId="77777777" w:rsidR="00A53392" w:rsidRDefault="00000000">
      <w:r>
        <w:t>• PCI DSS: tokenised payments; no PAN storage; WAF; secure SDLC; log retention and access controls.</w:t>
      </w:r>
    </w:p>
    <w:p w14:paraId="7012C9A1" w14:textId="77777777" w:rsidR="00A53392" w:rsidRDefault="00000000">
      <w:r>
        <w:t>• GDPR: lawful basis &amp; consent, minimisation, retention/erasure workflows, subject access, breach notification.</w:t>
      </w:r>
    </w:p>
    <w:p w14:paraId="213E7CAC" w14:textId="77777777" w:rsidR="00A53392" w:rsidRDefault="00000000">
      <w:r>
        <w:t>• POPIA: align data subject rights and security safeguards for South African jurisdictions as applicable.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53392" w14:paraId="04D70E50" w14:textId="77777777">
        <w:tc>
          <w:tcPr>
            <w:tcW w:w="1440" w:type="dxa"/>
          </w:tcPr>
          <w:p w14:paraId="264BF71A" w14:textId="77777777" w:rsidR="00A53392" w:rsidRDefault="00000000">
            <w:r>
              <w:t>Data Element</w:t>
            </w:r>
          </w:p>
        </w:tc>
        <w:tc>
          <w:tcPr>
            <w:tcW w:w="1440" w:type="dxa"/>
          </w:tcPr>
          <w:p w14:paraId="4473287E" w14:textId="77777777" w:rsidR="00A53392" w:rsidRDefault="00000000">
            <w:r>
              <w:t>Class</w:t>
            </w:r>
          </w:p>
        </w:tc>
        <w:tc>
          <w:tcPr>
            <w:tcW w:w="1440" w:type="dxa"/>
          </w:tcPr>
          <w:p w14:paraId="53EAFB8C" w14:textId="77777777" w:rsidR="00A53392" w:rsidRDefault="00000000">
            <w:r>
              <w:t>Storage</w:t>
            </w:r>
          </w:p>
        </w:tc>
        <w:tc>
          <w:tcPr>
            <w:tcW w:w="1440" w:type="dxa"/>
          </w:tcPr>
          <w:p w14:paraId="787769FB" w14:textId="77777777" w:rsidR="00A53392" w:rsidRDefault="00000000">
            <w:r>
              <w:t>Retention</w:t>
            </w:r>
          </w:p>
        </w:tc>
        <w:tc>
          <w:tcPr>
            <w:tcW w:w="1440" w:type="dxa"/>
          </w:tcPr>
          <w:p w14:paraId="434DC610" w14:textId="77777777" w:rsidR="00A53392" w:rsidRDefault="00000000">
            <w:r>
              <w:t>Access</w:t>
            </w:r>
          </w:p>
        </w:tc>
        <w:tc>
          <w:tcPr>
            <w:tcW w:w="1440" w:type="dxa"/>
          </w:tcPr>
          <w:p w14:paraId="6621AD5B" w14:textId="77777777" w:rsidR="00A53392" w:rsidRDefault="00000000">
            <w:r>
              <w:t>Mask in Logs</w:t>
            </w:r>
          </w:p>
        </w:tc>
      </w:tr>
      <w:tr w:rsidR="00A53392" w14:paraId="35F51E61" w14:textId="77777777">
        <w:tc>
          <w:tcPr>
            <w:tcW w:w="1440" w:type="dxa"/>
          </w:tcPr>
          <w:p w14:paraId="01DBB820" w14:textId="77777777" w:rsidR="00A53392" w:rsidRDefault="00000000">
            <w:r>
              <w:t>Passenger name</w:t>
            </w:r>
          </w:p>
        </w:tc>
        <w:tc>
          <w:tcPr>
            <w:tcW w:w="1440" w:type="dxa"/>
          </w:tcPr>
          <w:p w14:paraId="1734A022" w14:textId="77777777" w:rsidR="00A53392" w:rsidRDefault="00000000">
            <w:r>
              <w:t>PII</w:t>
            </w:r>
          </w:p>
        </w:tc>
        <w:tc>
          <w:tcPr>
            <w:tcW w:w="1440" w:type="dxa"/>
          </w:tcPr>
          <w:p w14:paraId="7B1A94FB" w14:textId="77777777" w:rsidR="00A53392" w:rsidRDefault="00000000">
            <w:r>
              <w:t>DB</w:t>
            </w:r>
          </w:p>
        </w:tc>
        <w:tc>
          <w:tcPr>
            <w:tcW w:w="1440" w:type="dxa"/>
          </w:tcPr>
          <w:p w14:paraId="2D292995" w14:textId="77777777" w:rsidR="00A53392" w:rsidRDefault="00000000">
            <w:r>
              <w:t>5 years (legal)</w:t>
            </w:r>
          </w:p>
        </w:tc>
        <w:tc>
          <w:tcPr>
            <w:tcW w:w="1440" w:type="dxa"/>
          </w:tcPr>
          <w:p w14:paraId="7D49BF69" w14:textId="77777777" w:rsidR="00A53392" w:rsidRDefault="00000000">
            <w:r>
              <w:t>Role‑based</w:t>
            </w:r>
          </w:p>
        </w:tc>
        <w:tc>
          <w:tcPr>
            <w:tcW w:w="1440" w:type="dxa"/>
          </w:tcPr>
          <w:p w14:paraId="5B7FDD25" w14:textId="77777777" w:rsidR="00A53392" w:rsidRDefault="00000000">
            <w:r>
              <w:t>Yes</w:t>
            </w:r>
          </w:p>
        </w:tc>
      </w:tr>
      <w:tr w:rsidR="00A53392" w14:paraId="233B2A37" w14:textId="77777777">
        <w:tc>
          <w:tcPr>
            <w:tcW w:w="1440" w:type="dxa"/>
          </w:tcPr>
          <w:p w14:paraId="1C690035" w14:textId="77777777" w:rsidR="00A53392" w:rsidRDefault="00000000">
            <w:r>
              <w:t>Passport number</w:t>
            </w:r>
          </w:p>
        </w:tc>
        <w:tc>
          <w:tcPr>
            <w:tcW w:w="1440" w:type="dxa"/>
          </w:tcPr>
          <w:p w14:paraId="1FC8EF2C" w14:textId="77777777" w:rsidR="00A53392" w:rsidRDefault="00000000">
            <w:r>
              <w:t>Sensitive PII</w:t>
            </w:r>
          </w:p>
        </w:tc>
        <w:tc>
          <w:tcPr>
            <w:tcW w:w="1440" w:type="dxa"/>
          </w:tcPr>
          <w:p w14:paraId="34E1FE10" w14:textId="77777777" w:rsidR="00A53392" w:rsidRDefault="00000000">
            <w:r>
              <w:t>Encrypted DB</w:t>
            </w:r>
          </w:p>
        </w:tc>
        <w:tc>
          <w:tcPr>
            <w:tcW w:w="1440" w:type="dxa"/>
          </w:tcPr>
          <w:p w14:paraId="44CEBC4C" w14:textId="77777777" w:rsidR="00A53392" w:rsidRDefault="00000000">
            <w:r>
              <w:t>5 years (legal)</w:t>
            </w:r>
          </w:p>
        </w:tc>
        <w:tc>
          <w:tcPr>
            <w:tcW w:w="1440" w:type="dxa"/>
          </w:tcPr>
          <w:p w14:paraId="7536C63C" w14:textId="77777777" w:rsidR="00A53392" w:rsidRDefault="00000000">
            <w:r>
              <w:t>Restricted</w:t>
            </w:r>
          </w:p>
        </w:tc>
        <w:tc>
          <w:tcPr>
            <w:tcW w:w="1440" w:type="dxa"/>
          </w:tcPr>
          <w:p w14:paraId="55239733" w14:textId="77777777" w:rsidR="00A53392" w:rsidRDefault="00000000">
            <w:r>
              <w:t>Yes</w:t>
            </w:r>
          </w:p>
        </w:tc>
      </w:tr>
      <w:tr w:rsidR="00A53392" w14:paraId="74D63B31" w14:textId="77777777">
        <w:tc>
          <w:tcPr>
            <w:tcW w:w="1440" w:type="dxa"/>
          </w:tcPr>
          <w:p w14:paraId="143AD112" w14:textId="77777777" w:rsidR="00A53392" w:rsidRDefault="00000000">
            <w:r>
              <w:t>Payment token</w:t>
            </w:r>
          </w:p>
        </w:tc>
        <w:tc>
          <w:tcPr>
            <w:tcW w:w="1440" w:type="dxa"/>
          </w:tcPr>
          <w:p w14:paraId="2BD2CB37" w14:textId="77777777" w:rsidR="00A53392" w:rsidRDefault="00000000">
            <w:r>
              <w:t>PCI token</w:t>
            </w:r>
          </w:p>
        </w:tc>
        <w:tc>
          <w:tcPr>
            <w:tcW w:w="1440" w:type="dxa"/>
          </w:tcPr>
          <w:p w14:paraId="311B50C7" w14:textId="77777777" w:rsidR="00A53392" w:rsidRDefault="00000000">
            <w:r>
              <w:t>PSP only</w:t>
            </w:r>
          </w:p>
        </w:tc>
        <w:tc>
          <w:tcPr>
            <w:tcW w:w="1440" w:type="dxa"/>
          </w:tcPr>
          <w:p w14:paraId="77CDA315" w14:textId="77777777" w:rsidR="00A53392" w:rsidRDefault="00000000">
            <w:r>
              <w:t>Per PSP policy</w:t>
            </w:r>
          </w:p>
        </w:tc>
        <w:tc>
          <w:tcPr>
            <w:tcW w:w="1440" w:type="dxa"/>
          </w:tcPr>
          <w:p w14:paraId="629D792A" w14:textId="77777777" w:rsidR="00A53392" w:rsidRDefault="00000000">
            <w:r>
              <w:t>N/A</w:t>
            </w:r>
          </w:p>
        </w:tc>
        <w:tc>
          <w:tcPr>
            <w:tcW w:w="1440" w:type="dxa"/>
          </w:tcPr>
          <w:p w14:paraId="55764F03" w14:textId="77777777" w:rsidR="00A53392" w:rsidRDefault="00000000">
            <w:r>
              <w:t>Yes</w:t>
            </w:r>
          </w:p>
        </w:tc>
      </w:tr>
      <w:tr w:rsidR="00A53392" w14:paraId="7A743773" w14:textId="77777777">
        <w:tc>
          <w:tcPr>
            <w:tcW w:w="1440" w:type="dxa"/>
          </w:tcPr>
          <w:p w14:paraId="15B3C651" w14:textId="77777777" w:rsidR="00A53392" w:rsidRDefault="00000000">
            <w:r>
              <w:t>Email/phone</w:t>
            </w:r>
          </w:p>
        </w:tc>
        <w:tc>
          <w:tcPr>
            <w:tcW w:w="1440" w:type="dxa"/>
          </w:tcPr>
          <w:p w14:paraId="0BBDA9F2" w14:textId="77777777" w:rsidR="00A53392" w:rsidRDefault="00000000">
            <w:r>
              <w:t>PII</w:t>
            </w:r>
          </w:p>
        </w:tc>
        <w:tc>
          <w:tcPr>
            <w:tcW w:w="1440" w:type="dxa"/>
          </w:tcPr>
          <w:p w14:paraId="65B64A9B" w14:textId="77777777" w:rsidR="00A53392" w:rsidRDefault="00000000">
            <w:r>
              <w:t>DB</w:t>
            </w:r>
          </w:p>
        </w:tc>
        <w:tc>
          <w:tcPr>
            <w:tcW w:w="1440" w:type="dxa"/>
          </w:tcPr>
          <w:p w14:paraId="03EBA27D" w14:textId="77777777" w:rsidR="00A53392" w:rsidRDefault="00000000">
            <w:r>
              <w:t>Per consent</w:t>
            </w:r>
          </w:p>
        </w:tc>
        <w:tc>
          <w:tcPr>
            <w:tcW w:w="1440" w:type="dxa"/>
          </w:tcPr>
          <w:p w14:paraId="5159AD5B" w14:textId="77777777" w:rsidR="00A53392" w:rsidRDefault="00000000">
            <w:r>
              <w:t>Role‑based</w:t>
            </w:r>
          </w:p>
        </w:tc>
        <w:tc>
          <w:tcPr>
            <w:tcW w:w="1440" w:type="dxa"/>
          </w:tcPr>
          <w:p w14:paraId="65F0DFC2" w14:textId="77777777" w:rsidR="00A53392" w:rsidRDefault="00000000">
            <w:r>
              <w:t>Yes</w:t>
            </w:r>
          </w:p>
        </w:tc>
      </w:tr>
      <w:tr w:rsidR="00A53392" w14:paraId="23D39748" w14:textId="77777777">
        <w:tc>
          <w:tcPr>
            <w:tcW w:w="1440" w:type="dxa"/>
          </w:tcPr>
          <w:p w14:paraId="74E8357D" w14:textId="77777777" w:rsidR="00A53392" w:rsidRDefault="00000000">
            <w:r>
              <w:t>Itinerary</w:t>
            </w:r>
          </w:p>
        </w:tc>
        <w:tc>
          <w:tcPr>
            <w:tcW w:w="1440" w:type="dxa"/>
          </w:tcPr>
          <w:p w14:paraId="368E3F1C" w14:textId="77777777" w:rsidR="00A53392" w:rsidRDefault="00000000">
            <w:r>
              <w:t>Business</w:t>
            </w:r>
          </w:p>
        </w:tc>
        <w:tc>
          <w:tcPr>
            <w:tcW w:w="1440" w:type="dxa"/>
          </w:tcPr>
          <w:p w14:paraId="291B91E5" w14:textId="77777777" w:rsidR="00A53392" w:rsidRDefault="00000000">
            <w:r>
              <w:t>DB</w:t>
            </w:r>
          </w:p>
        </w:tc>
        <w:tc>
          <w:tcPr>
            <w:tcW w:w="1440" w:type="dxa"/>
          </w:tcPr>
          <w:p w14:paraId="701E8C54" w14:textId="77777777" w:rsidR="00A53392" w:rsidRDefault="00000000">
            <w:r>
              <w:t>7 years</w:t>
            </w:r>
          </w:p>
        </w:tc>
        <w:tc>
          <w:tcPr>
            <w:tcW w:w="1440" w:type="dxa"/>
          </w:tcPr>
          <w:p w14:paraId="089FBFA1" w14:textId="77777777" w:rsidR="00A53392" w:rsidRDefault="00000000">
            <w:r>
              <w:t>Role‑based</w:t>
            </w:r>
          </w:p>
        </w:tc>
        <w:tc>
          <w:tcPr>
            <w:tcW w:w="1440" w:type="dxa"/>
          </w:tcPr>
          <w:p w14:paraId="604D630B" w14:textId="77777777" w:rsidR="00A53392" w:rsidRDefault="00000000">
            <w:r>
              <w:t>Yes</w:t>
            </w:r>
          </w:p>
        </w:tc>
      </w:tr>
    </w:tbl>
    <w:p w14:paraId="4E195F91" w14:textId="77777777" w:rsidR="00A53392" w:rsidRDefault="16993B23">
      <w:pPr>
        <w:pStyle w:val="Heading1"/>
      </w:pPr>
      <w:bookmarkStart w:id="13" w:name="_Toc223667431"/>
      <w:r>
        <w:t>7. Identity &amp; Registration Modernisation (New Onboarding)</w:t>
      </w:r>
      <w:bookmarkEnd w:id="13"/>
    </w:p>
    <w:p w14:paraId="73C6693A" w14:textId="2C8A8E6B" w:rsidR="25C62ED6" w:rsidRDefault="25C62ED6" w:rsidP="16993B23">
      <w:pPr>
        <w:pStyle w:val="Heading3"/>
        <w:spacing w:before="246" w:after="246" w:line="300" w:lineRule="auto"/>
      </w:pPr>
      <w:bookmarkStart w:id="14" w:name="_Toc223667432"/>
      <w:r w:rsidRPr="16993B23">
        <w:rPr>
          <w:rFonts w:ascii="Segoe UI" w:eastAsia="Segoe UI" w:hAnsi="Segoe UI" w:cs="Segoe UI"/>
          <w:sz w:val="24"/>
          <w:szCs w:val="24"/>
        </w:rPr>
        <w:t xml:space="preserve">7.1 Current capability check — </w:t>
      </w:r>
      <w:r w:rsidRPr="16993B23">
        <w:rPr>
          <w:rFonts w:ascii="Segoe UI" w:eastAsia="Segoe UI" w:hAnsi="Segoe UI" w:cs="Segoe UI"/>
          <w:i/>
          <w:iCs/>
          <w:sz w:val="24"/>
          <w:szCs w:val="24"/>
        </w:rPr>
        <w:t>Does the vendor code have this?</w:t>
      </w:r>
      <w:bookmarkEnd w:id="14"/>
    </w:p>
    <w:p w14:paraId="7ACAAB73" w14:textId="3BFF5733" w:rsidR="25C62ED6" w:rsidRDefault="25C62ED6" w:rsidP="16993B23">
      <w:pPr>
        <w:pStyle w:val="ListParagraph"/>
        <w:numPr>
          <w:ilvl w:val="0"/>
          <w:numId w:val="7"/>
        </w:numPr>
        <w:spacing w:after="0" w:line="300" w:lineRule="auto"/>
        <w:rPr>
          <w:rFonts w:ascii="Segoe UI" w:eastAsia="Segoe UI" w:hAnsi="Segoe UI" w:cs="Segoe UI"/>
          <w:i/>
          <w:iCs/>
          <w:sz w:val="21"/>
          <w:szCs w:val="21"/>
        </w:rPr>
      </w:pPr>
      <w:r w:rsidRPr="16993B23">
        <w:rPr>
          <w:rFonts w:ascii="Segoe UI" w:eastAsia="Segoe UI" w:hAnsi="Segoe UI" w:cs="Segoe UI"/>
          <w:sz w:val="21"/>
          <w:szCs w:val="21"/>
        </w:rPr>
        <w:t xml:space="preserve">From the public code structure and routes, there’s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no production‑ready OIDC/OAuth2</w:t>
      </w:r>
      <w:r w:rsidRPr="16993B23">
        <w:rPr>
          <w:rFonts w:ascii="Segoe UI" w:eastAsia="Segoe UI" w:hAnsi="Segoe UI" w:cs="Segoe UI"/>
          <w:sz w:val="21"/>
          <w:szCs w:val="21"/>
        </w:rPr>
        <w:t xml:space="preserve"> implementation (no Google/Microsoft/Apple),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no One Tap surfaces</w:t>
      </w:r>
      <w:r w:rsidRPr="16993B23">
        <w:rPr>
          <w:rFonts w:ascii="Segoe UI" w:eastAsia="Segoe UI" w:hAnsi="Segoe UI" w:cs="Segoe UI"/>
          <w:sz w:val="21"/>
          <w:szCs w:val="21"/>
        </w:rPr>
        <w:t xml:space="preserve">, and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no IdP callbacks</w:t>
      </w:r>
      <w:r w:rsidRPr="16993B23">
        <w:rPr>
          <w:rFonts w:ascii="Segoe UI" w:eastAsia="Segoe UI" w:hAnsi="Segoe UI" w:cs="Segoe UI"/>
          <w:sz w:val="21"/>
          <w:szCs w:val="21"/>
        </w:rPr>
        <w:t xml:space="preserve"> visible. The safe working assumption </w:t>
      </w:r>
      <w:proofErr w:type="gramStart"/>
      <w:r w:rsidRPr="16993B23">
        <w:rPr>
          <w:rFonts w:ascii="Segoe UI" w:eastAsia="Segoe UI" w:hAnsi="Segoe UI" w:cs="Segoe UI"/>
          <w:sz w:val="21"/>
          <w:szCs w:val="21"/>
        </w:rPr>
        <w:t>is:</w:t>
      </w:r>
      <w:proofErr w:type="gramEnd"/>
      <w:r w:rsidRPr="16993B23">
        <w:rPr>
          <w:rFonts w:ascii="Segoe UI" w:eastAsia="Segoe UI" w:hAnsi="Segoe UI" w:cs="Segoe UI"/>
          <w:sz w:val="21"/>
          <w:szCs w:val="21"/>
        </w:rPr>
        <w:t xml:space="preserve">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 xml:space="preserve">the vendor code does not provide modern social/OIDC </w:t>
      </w:r>
      <w:proofErr w:type="gramStart"/>
      <w:r w:rsidRPr="16993B23">
        <w:rPr>
          <w:rFonts w:ascii="Segoe UI" w:eastAsia="Segoe UI" w:hAnsi="Segoe UI" w:cs="Segoe UI"/>
          <w:b/>
          <w:bCs/>
          <w:sz w:val="21"/>
          <w:szCs w:val="21"/>
        </w:rPr>
        <w:t>onboarding</w:t>
      </w:r>
      <w:r w:rsidRPr="16993B23">
        <w:rPr>
          <w:rFonts w:ascii="Segoe UI" w:eastAsia="Segoe UI" w:hAnsi="Segoe UI" w:cs="Segoe UI"/>
          <w:sz w:val="21"/>
          <w:szCs w:val="21"/>
        </w:rPr>
        <w:t>—</w:t>
      </w:r>
      <w:proofErr w:type="gramEnd"/>
      <w:r w:rsidRPr="16993B23">
        <w:rPr>
          <w:rFonts w:ascii="Segoe UI" w:eastAsia="Segoe UI" w:hAnsi="Segoe UI" w:cs="Segoe UI"/>
          <w:sz w:val="21"/>
          <w:szCs w:val="21"/>
        </w:rPr>
        <w:t xml:space="preserve">we must add it to LAR. </w:t>
      </w:r>
      <w:r w:rsidRPr="16993B23">
        <w:rPr>
          <w:rFonts w:ascii="Segoe UI" w:eastAsia="Segoe UI" w:hAnsi="Segoe UI" w:cs="Segoe UI"/>
          <w:i/>
          <w:iCs/>
          <w:sz w:val="21"/>
          <w:szCs w:val="21"/>
        </w:rPr>
        <w:t>(This is stated explicitly in the Word section.)</w:t>
      </w:r>
    </w:p>
    <w:p w14:paraId="0D1195FF" w14:textId="061050A3" w:rsidR="25C62ED6" w:rsidRDefault="25C62ED6" w:rsidP="16993B23">
      <w:pPr>
        <w:pStyle w:val="Heading3"/>
        <w:spacing w:before="246" w:after="246" w:line="300" w:lineRule="auto"/>
      </w:pPr>
      <w:bookmarkStart w:id="15" w:name="_Toc223667433"/>
      <w:r w:rsidRPr="16993B23">
        <w:rPr>
          <w:rFonts w:ascii="Segoe UI" w:eastAsia="Segoe UI" w:hAnsi="Segoe UI" w:cs="Segoe UI"/>
          <w:sz w:val="24"/>
          <w:szCs w:val="24"/>
        </w:rPr>
        <w:t>7.2 Business case — quick, convenient, and no passwords kept by LAR</w:t>
      </w:r>
      <w:bookmarkEnd w:id="15"/>
    </w:p>
    <w:p w14:paraId="54278172" w14:textId="5623BF2C" w:rsidR="25C62ED6" w:rsidRDefault="25C62ED6" w:rsidP="16993B23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b/>
          <w:bCs/>
          <w:sz w:val="21"/>
          <w:szCs w:val="21"/>
        </w:rPr>
        <w:t>Faster conversions</w:t>
      </w:r>
      <w:r w:rsidRPr="16993B23">
        <w:rPr>
          <w:rFonts w:ascii="Segoe UI" w:eastAsia="Segoe UI" w:hAnsi="Segoe UI" w:cs="Segoe UI"/>
          <w:sz w:val="21"/>
          <w:szCs w:val="21"/>
        </w:rPr>
        <w:t xml:space="preserve">: One Tap / primary “Sign in with Google/Microsoft” removes form friction; expect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+20–50%</w:t>
      </w:r>
      <w:r w:rsidRPr="16993B23">
        <w:rPr>
          <w:rFonts w:ascii="Segoe UI" w:eastAsia="Segoe UI" w:hAnsi="Segoe UI" w:cs="Segoe UI"/>
          <w:sz w:val="21"/>
          <w:szCs w:val="21"/>
        </w:rPr>
        <w:t xml:space="preserve"> completion (validate via A/B).</w:t>
      </w:r>
    </w:p>
    <w:p w14:paraId="7878F783" w14:textId="3BA8B2CE" w:rsidR="25C62ED6" w:rsidRDefault="25C62ED6" w:rsidP="16993B23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b/>
          <w:bCs/>
          <w:sz w:val="21"/>
          <w:szCs w:val="21"/>
        </w:rPr>
        <w:t>Lower abandonment</w:t>
      </w:r>
      <w:r w:rsidRPr="16993B23">
        <w:rPr>
          <w:rFonts w:ascii="Segoe UI" w:eastAsia="Segoe UI" w:hAnsi="Segoe UI" w:cs="Segoe UI"/>
          <w:sz w:val="21"/>
          <w:szCs w:val="21"/>
        </w:rPr>
        <w:t xml:space="preserve">: </w:t>
      </w:r>
      <w:proofErr w:type="gramStart"/>
      <w:r w:rsidRPr="16993B23">
        <w:rPr>
          <w:rFonts w:ascii="Segoe UI" w:eastAsia="Segoe UI" w:hAnsi="Segoe UI" w:cs="Segoe UI"/>
          <w:sz w:val="21"/>
          <w:szCs w:val="21"/>
        </w:rPr>
        <w:t>Typically</w:t>
      </w:r>
      <w:proofErr w:type="gramEnd"/>
      <w:r w:rsidRPr="16993B23">
        <w:rPr>
          <w:rFonts w:ascii="Segoe UI" w:eastAsia="Segoe UI" w:hAnsi="Segoe UI" w:cs="Segoe UI"/>
          <w:sz w:val="21"/>
          <w:szCs w:val="21"/>
        </w:rPr>
        <w:t xml:space="preserve">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≥20–26%</w:t>
      </w:r>
      <w:r w:rsidRPr="16993B23">
        <w:rPr>
          <w:rFonts w:ascii="Segoe UI" w:eastAsia="Segoe UI" w:hAnsi="Segoe UI" w:cs="Segoe UI"/>
          <w:sz w:val="21"/>
          <w:szCs w:val="21"/>
        </w:rPr>
        <w:t xml:space="preserve"> reduction by cutting fields and context switches.</w:t>
      </w:r>
    </w:p>
    <w:p w14:paraId="2FCD8D33" w14:textId="34CB9183" w:rsidR="25C62ED6" w:rsidRDefault="25C62ED6" w:rsidP="16993B23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b/>
          <w:bCs/>
          <w:sz w:val="21"/>
          <w:szCs w:val="21"/>
        </w:rPr>
        <w:lastRenderedPageBreak/>
        <w:t>No password storage risk</w:t>
      </w:r>
      <w:r w:rsidRPr="16993B23">
        <w:rPr>
          <w:rFonts w:ascii="Segoe UI" w:eastAsia="Segoe UI" w:hAnsi="Segoe UI" w:cs="Segoe UI"/>
          <w:sz w:val="21"/>
          <w:szCs w:val="21"/>
        </w:rPr>
        <w:t xml:space="preserve">: LAR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does not store passwords</w:t>
      </w:r>
      <w:r w:rsidRPr="16993B23">
        <w:rPr>
          <w:rFonts w:ascii="Segoe UI" w:eastAsia="Segoe UI" w:hAnsi="Segoe UI" w:cs="Segoe UI"/>
          <w:sz w:val="21"/>
          <w:szCs w:val="21"/>
        </w:rPr>
        <w:t>; credentials remain with Google/Microsoft/Apple, reducing breach surface.</w:t>
      </w:r>
    </w:p>
    <w:p w14:paraId="6BA03D3B" w14:textId="11C91EAC" w:rsidR="25C62ED6" w:rsidRDefault="25C62ED6" w:rsidP="16993B23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b/>
          <w:bCs/>
          <w:sz w:val="21"/>
          <w:szCs w:val="21"/>
        </w:rPr>
        <w:t>Fewer support tickets</w:t>
      </w:r>
      <w:r w:rsidRPr="16993B23">
        <w:rPr>
          <w:rFonts w:ascii="Segoe UI" w:eastAsia="Segoe UI" w:hAnsi="Segoe UI" w:cs="Segoe UI"/>
          <w:sz w:val="21"/>
          <w:szCs w:val="21"/>
        </w:rPr>
        <w:t>: Password resets handled by IdPs.</w:t>
      </w:r>
    </w:p>
    <w:p w14:paraId="22EBC43F" w14:textId="5097EC5F" w:rsidR="25C62ED6" w:rsidRDefault="25C62ED6" w:rsidP="16993B23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b/>
          <w:bCs/>
          <w:sz w:val="21"/>
          <w:szCs w:val="21"/>
        </w:rPr>
        <w:t>Security</w:t>
      </w:r>
      <w:r w:rsidRPr="16993B23">
        <w:rPr>
          <w:rFonts w:ascii="Segoe UI" w:eastAsia="Segoe UI" w:hAnsi="Segoe UI" w:cs="Segoe UI"/>
          <w:sz w:val="21"/>
          <w:szCs w:val="21"/>
        </w:rPr>
        <w:t>: IdP MFA/step‑up, while LAR enforces CSRF, cookie flags, and rate‑limits.</w:t>
      </w:r>
    </w:p>
    <w:p w14:paraId="4822F7D6" w14:textId="2B33A2CF" w:rsidR="25C62ED6" w:rsidRDefault="25C62ED6" w:rsidP="16993B23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b/>
          <w:bCs/>
          <w:sz w:val="21"/>
          <w:szCs w:val="21"/>
        </w:rPr>
        <w:t>B2B wins</w:t>
      </w:r>
      <w:r w:rsidRPr="16993B23">
        <w:rPr>
          <w:rFonts w:ascii="Segoe UI" w:eastAsia="Segoe UI" w:hAnsi="Segoe UI" w:cs="Segoe UI"/>
          <w:sz w:val="21"/>
          <w:szCs w:val="21"/>
        </w:rPr>
        <w:t xml:space="preserve">: “Sign in with Microsoft” +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LinkedIn</w:t>
      </w:r>
      <w:r w:rsidRPr="16993B23">
        <w:rPr>
          <w:rFonts w:ascii="Segoe UI" w:eastAsia="Segoe UI" w:hAnsi="Segoe UI" w:cs="Segoe UI"/>
          <w:sz w:val="21"/>
          <w:szCs w:val="21"/>
        </w:rPr>
        <w:t xml:space="preserve"> simplify corporate/agency adoption.</w:t>
      </w:r>
    </w:p>
    <w:p w14:paraId="6926C03C" w14:textId="2DB44CB8" w:rsidR="25C62ED6" w:rsidRDefault="25C62ED6" w:rsidP="16993B23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b/>
          <w:bCs/>
          <w:sz w:val="21"/>
          <w:szCs w:val="21"/>
        </w:rPr>
        <w:t>Mobile/iOS parity</w:t>
      </w:r>
      <w:r w:rsidRPr="16993B23">
        <w:rPr>
          <w:rFonts w:ascii="Segoe UI" w:eastAsia="Segoe UI" w:hAnsi="Segoe UI" w:cs="Segoe UI"/>
          <w:sz w:val="21"/>
          <w:szCs w:val="21"/>
        </w:rPr>
        <w:t>: “Sign in with Apple” meets user expectations.</w:t>
      </w:r>
    </w:p>
    <w:p w14:paraId="5DD58979" w14:textId="7B76960F" w:rsidR="25C62ED6" w:rsidRDefault="25C62ED6" w:rsidP="16993B23">
      <w:pPr>
        <w:pStyle w:val="Heading3"/>
        <w:spacing w:before="246" w:after="246" w:line="300" w:lineRule="auto"/>
      </w:pPr>
      <w:bookmarkStart w:id="16" w:name="_Toc223667434"/>
      <w:r w:rsidRPr="16993B23">
        <w:rPr>
          <w:rFonts w:ascii="Segoe UI" w:eastAsia="Segoe UI" w:hAnsi="Segoe UI" w:cs="Segoe UI"/>
          <w:sz w:val="24"/>
          <w:szCs w:val="24"/>
        </w:rPr>
        <w:t>7.3 Front‑end surfaces</w:t>
      </w:r>
      <w:bookmarkEnd w:id="16"/>
    </w:p>
    <w:p w14:paraId="150EBA24" w14:textId="0AFE099D" w:rsidR="25C62ED6" w:rsidRDefault="25C62ED6" w:rsidP="16993B23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b/>
          <w:bCs/>
          <w:sz w:val="21"/>
          <w:szCs w:val="21"/>
        </w:rPr>
        <w:t>One Tap</w:t>
      </w:r>
      <w:r w:rsidRPr="16993B23">
        <w:rPr>
          <w:rFonts w:ascii="Segoe UI" w:eastAsia="Segoe UI" w:hAnsi="Segoe UI" w:cs="Segoe UI"/>
          <w:sz w:val="21"/>
          <w:szCs w:val="21"/>
        </w:rPr>
        <w:t xml:space="preserve"> on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home</w:t>
      </w:r>
      <w:r w:rsidRPr="16993B23">
        <w:rPr>
          <w:rFonts w:ascii="Segoe UI" w:eastAsia="Segoe UI" w:hAnsi="Segoe UI" w:cs="Segoe UI"/>
          <w:sz w:val="21"/>
          <w:szCs w:val="21"/>
        </w:rPr>
        <w:t xml:space="preserve">,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search results</w:t>
      </w:r>
      <w:r w:rsidRPr="16993B23">
        <w:rPr>
          <w:rFonts w:ascii="Segoe UI" w:eastAsia="Segoe UI" w:hAnsi="Segoe UI" w:cs="Segoe UI"/>
          <w:sz w:val="21"/>
          <w:szCs w:val="21"/>
        </w:rPr>
        <w:t xml:space="preserve">, and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checkout</w:t>
      </w:r>
      <w:r w:rsidRPr="16993B23">
        <w:rPr>
          <w:rFonts w:ascii="Segoe UI" w:eastAsia="Segoe UI" w:hAnsi="Segoe UI" w:cs="Segoe UI"/>
          <w:sz w:val="21"/>
          <w:szCs w:val="21"/>
        </w:rPr>
        <w:t xml:space="preserve"> (non‑intrusive; respects consent).</w:t>
      </w:r>
    </w:p>
    <w:p w14:paraId="0A7EBFF4" w14:textId="38C901BD" w:rsidR="25C62ED6" w:rsidRDefault="25C62ED6" w:rsidP="16993B23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b/>
          <w:bCs/>
          <w:sz w:val="21"/>
          <w:szCs w:val="21"/>
        </w:rPr>
        <w:t>Login/Join</w:t>
      </w:r>
      <w:r w:rsidRPr="16993B23">
        <w:rPr>
          <w:rFonts w:ascii="Segoe UI" w:eastAsia="Segoe UI" w:hAnsi="Segoe UI" w:cs="Segoe UI"/>
          <w:sz w:val="21"/>
          <w:szCs w:val="21"/>
        </w:rPr>
        <w:t>: 2 primary buttons (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Google</w:t>
      </w:r>
      <w:r w:rsidRPr="16993B23">
        <w:rPr>
          <w:rFonts w:ascii="Segoe UI" w:eastAsia="Segoe UI" w:hAnsi="Segoe UI" w:cs="Segoe UI"/>
          <w:sz w:val="21"/>
          <w:szCs w:val="21"/>
        </w:rPr>
        <w:t xml:space="preserve">,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Microsoft</w:t>
      </w:r>
      <w:r w:rsidRPr="16993B23">
        <w:rPr>
          <w:rFonts w:ascii="Segoe UI" w:eastAsia="Segoe UI" w:hAnsi="Segoe UI" w:cs="Segoe UI"/>
          <w:sz w:val="21"/>
          <w:szCs w:val="21"/>
        </w:rPr>
        <w:t xml:space="preserve">), plus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“More options”</w:t>
      </w:r>
      <w:r w:rsidRPr="16993B23">
        <w:rPr>
          <w:rFonts w:ascii="Segoe UI" w:eastAsia="Segoe UI" w:hAnsi="Segoe UI" w:cs="Segoe UI"/>
          <w:sz w:val="21"/>
          <w:szCs w:val="21"/>
        </w:rPr>
        <w:t xml:space="preserve"> (Apple, LinkedIn, Facebook </w:t>
      </w:r>
      <w:r w:rsidRPr="16993B23">
        <w:rPr>
          <w:rFonts w:ascii="Segoe UI" w:eastAsia="Segoe UI" w:hAnsi="Segoe UI" w:cs="Segoe UI"/>
          <w:i/>
          <w:iCs/>
          <w:sz w:val="21"/>
          <w:szCs w:val="21"/>
        </w:rPr>
        <w:t>only if analytics justify</w:t>
      </w:r>
      <w:r w:rsidRPr="16993B23">
        <w:rPr>
          <w:rFonts w:ascii="Segoe UI" w:eastAsia="Segoe UI" w:hAnsi="Segoe UI" w:cs="Segoe UI"/>
          <w:sz w:val="21"/>
          <w:szCs w:val="21"/>
        </w:rPr>
        <w:t>).</w:t>
      </w:r>
    </w:p>
    <w:p w14:paraId="36FD13A6" w14:textId="34C3622A" w:rsidR="25C62ED6" w:rsidRDefault="25C62ED6" w:rsidP="16993B23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sz w:val="21"/>
          <w:szCs w:val="21"/>
        </w:rPr>
        <w:t>Accessibility &amp; responsive layout preserved (focus order, labels, non‑blocking UI).</w:t>
      </w:r>
    </w:p>
    <w:p w14:paraId="2B0D2375" w14:textId="327941D6" w:rsidR="25C62ED6" w:rsidRDefault="25C62ED6" w:rsidP="16993B23">
      <w:pPr>
        <w:pStyle w:val="Heading3"/>
        <w:spacing w:before="246" w:after="246" w:line="300" w:lineRule="auto"/>
      </w:pPr>
      <w:bookmarkStart w:id="17" w:name="_Toc223667435"/>
      <w:r w:rsidRPr="16993B23">
        <w:rPr>
          <w:rFonts w:ascii="Segoe UI" w:eastAsia="Segoe UI" w:hAnsi="Segoe UI" w:cs="Segoe UI"/>
          <w:sz w:val="24"/>
          <w:szCs w:val="24"/>
        </w:rPr>
        <w:t>7.4 Back‑end architecture — authentication delegation (no passwords stored)</w:t>
      </w:r>
      <w:bookmarkEnd w:id="17"/>
    </w:p>
    <w:p w14:paraId="5A2821F0" w14:textId="167500D9" w:rsidR="25C62ED6" w:rsidRDefault="25C62ED6" w:rsidP="16993B23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b/>
          <w:bCs/>
          <w:sz w:val="21"/>
          <w:szCs w:val="21"/>
        </w:rPr>
        <w:t>Protocol</w:t>
      </w:r>
      <w:r w:rsidRPr="16993B23">
        <w:rPr>
          <w:rFonts w:ascii="Segoe UI" w:eastAsia="Segoe UI" w:hAnsi="Segoe UI" w:cs="Segoe UI"/>
          <w:sz w:val="21"/>
          <w:szCs w:val="21"/>
        </w:rPr>
        <w:t xml:space="preserve">: OAuth 2.0 /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OIDC Authorization Code + PKCE</w:t>
      </w:r>
      <w:r w:rsidRPr="16993B23">
        <w:rPr>
          <w:rFonts w:ascii="Segoe UI" w:eastAsia="Segoe UI" w:hAnsi="Segoe UI" w:cs="Segoe UI"/>
          <w:sz w:val="21"/>
          <w:szCs w:val="21"/>
        </w:rPr>
        <w:t xml:space="preserve"> for Google &amp; Microsoft;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Sign in with Apple</w:t>
      </w:r>
      <w:r w:rsidRPr="16993B23">
        <w:rPr>
          <w:rFonts w:ascii="Segoe UI" w:eastAsia="Segoe UI" w:hAnsi="Segoe UI" w:cs="Segoe UI"/>
          <w:sz w:val="21"/>
          <w:szCs w:val="21"/>
        </w:rPr>
        <w:t xml:space="preserve">;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LinkedIn</w:t>
      </w:r>
      <w:r w:rsidRPr="16993B23">
        <w:rPr>
          <w:rFonts w:ascii="Segoe UI" w:eastAsia="Segoe UI" w:hAnsi="Segoe UI" w:cs="Segoe UI"/>
          <w:sz w:val="21"/>
          <w:szCs w:val="21"/>
        </w:rPr>
        <w:t xml:space="preserve"> for B2B;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Facebook</w:t>
      </w:r>
      <w:r w:rsidRPr="16993B23">
        <w:rPr>
          <w:rFonts w:ascii="Segoe UI" w:eastAsia="Segoe UI" w:hAnsi="Segoe UI" w:cs="Segoe UI"/>
          <w:sz w:val="21"/>
          <w:szCs w:val="21"/>
        </w:rPr>
        <w:t xml:space="preserve"> optional.</w:t>
      </w:r>
    </w:p>
    <w:p w14:paraId="4E3E9A60" w14:textId="700D75D4" w:rsidR="25C62ED6" w:rsidRDefault="25C62ED6" w:rsidP="16993B23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b/>
          <w:bCs/>
          <w:sz w:val="21"/>
          <w:szCs w:val="21"/>
        </w:rPr>
        <w:t>JIT provisioning</w:t>
      </w:r>
      <w:r w:rsidRPr="16993B23">
        <w:rPr>
          <w:rFonts w:ascii="Segoe UI" w:eastAsia="Segoe UI" w:hAnsi="Segoe UI" w:cs="Segoe UI"/>
          <w:sz w:val="21"/>
          <w:szCs w:val="21"/>
        </w:rPr>
        <w:t xml:space="preserve">: create/update the local profile on first callback; store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IdP subject</w:t>
      </w:r>
      <w:r w:rsidRPr="16993B23">
        <w:rPr>
          <w:rFonts w:ascii="Segoe UI" w:eastAsia="Segoe UI" w:hAnsi="Segoe UI" w:cs="Segoe UI"/>
          <w:sz w:val="21"/>
          <w:szCs w:val="21"/>
        </w:rPr>
        <w:t>, not passwords.</w:t>
      </w:r>
    </w:p>
    <w:p w14:paraId="06A768CC" w14:textId="3069BE98" w:rsidR="25C62ED6" w:rsidRDefault="25C62ED6" w:rsidP="16993B23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b/>
          <w:bCs/>
          <w:sz w:val="21"/>
          <w:szCs w:val="21"/>
        </w:rPr>
        <w:t>Session security</w:t>
      </w:r>
      <w:r w:rsidRPr="16993B23">
        <w:rPr>
          <w:rFonts w:ascii="Segoe UI" w:eastAsia="Segoe UI" w:hAnsi="Segoe UI" w:cs="Segoe UI"/>
          <w:sz w:val="21"/>
          <w:szCs w:val="21"/>
        </w:rPr>
        <w:t xml:space="preserve">: CSRF for stateful routes; cookies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HttpOnly/Secure/SameSite</w:t>
      </w:r>
      <w:r w:rsidRPr="16993B23">
        <w:rPr>
          <w:rFonts w:ascii="Segoe UI" w:eastAsia="Segoe UI" w:hAnsi="Segoe UI" w:cs="Segoe UI"/>
          <w:sz w:val="21"/>
          <w:szCs w:val="21"/>
        </w:rPr>
        <w:t>; short TTL + refresh.</w:t>
      </w:r>
    </w:p>
    <w:p w14:paraId="486C7982" w14:textId="6E8222B0" w:rsidR="25C62ED6" w:rsidRDefault="25C62ED6" w:rsidP="16993B23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b/>
          <w:bCs/>
          <w:sz w:val="21"/>
          <w:szCs w:val="21"/>
        </w:rPr>
        <w:t>Legacy</w:t>
      </w:r>
      <w:r w:rsidRPr="16993B23">
        <w:rPr>
          <w:rFonts w:ascii="Segoe UI" w:eastAsia="Segoe UI" w:hAnsi="Segoe UI" w:cs="Segoe UI"/>
          <w:sz w:val="21"/>
          <w:szCs w:val="21"/>
        </w:rPr>
        <w:t xml:space="preserve">: If any old passwords exist, migrate to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Argon2id/bcrypt</w:t>
      </w:r>
      <w:r w:rsidRPr="16993B23">
        <w:rPr>
          <w:rFonts w:ascii="Segoe UI" w:eastAsia="Segoe UI" w:hAnsi="Segoe UI" w:cs="Segoe UI"/>
          <w:sz w:val="21"/>
          <w:szCs w:val="21"/>
        </w:rPr>
        <w:t xml:space="preserve"> with progressive rehash—but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new accounts use IdPs only</w:t>
      </w:r>
      <w:r w:rsidRPr="16993B23">
        <w:rPr>
          <w:rFonts w:ascii="Segoe UI" w:eastAsia="Segoe UI" w:hAnsi="Segoe UI" w:cs="Segoe UI"/>
          <w:sz w:val="21"/>
          <w:szCs w:val="21"/>
        </w:rPr>
        <w:t>.</w:t>
      </w:r>
    </w:p>
    <w:p w14:paraId="5B8D2CBB" w14:textId="772B5E67" w:rsidR="25C62ED6" w:rsidRDefault="25C62ED6" w:rsidP="16993B23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b/>
          <w:bCs/>
          <w:sz w:val="21"/>
          <w:szCs w:val="21"/>
        </w:rPr>
        <w:t>Abuse controls</w:t>
      </w:r>
      <w:r w:rsidRPr="16993B23">
        <w:rPr>
          <w:rFonts w:ascii="Segoe UI" w:eastAsia="Segoe UI" w:hAnsi="Segoe UI" w:cs="Segoe UI"/>
          <w:sz w:val="21"/>
          <w:szCs w:val="21"/>
        </w:rPr>
        <w:t xml:space="preserve">: rate‑limit, bot/IP reputation,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idempotent</w:t>
      </w:r>
      <w:r w:rsidRPr="16993B23">
        <w:rPr>
          <w:rFonts w:ascii="Segoe UI" w:eastAsia="Segoe UI" w:hAnsi="Segoe UI" w:cs="Segoe UI"/>
          <w:sz w:val="21"/>
          <w:szCs w:val="21"/>
        </w:rPr>
        <w:t xml:space="preserve"> callback handling.</w:t>
      </w:r>
    </w:p>
    <w:p w14:paraId="3DD07890" w14:textId="5E3B43FD" w:rsidR="25C62ED6" w:rsidRDefault="25C62ED6" w:rsidP="16993B23">
      <w:pPr>
        <w:pStyle w:val="Heading3"/>
        <w:spacing w:before="246" w:after="246" w:line="300" w:lineRule="auto"/>
      </w:pPr>
      <w:bookmarkStart w:id="18" w:name="_Toc223667436"/>
      <w:r w:rsidRPr="16993B23">
        <w:rPr>
          <w:rFonts w:ascii="Segoe UI" w:eastAsia="Segoe UI" w:hAnsi="Segoe UI" w:cs="Segoe UI"/>
          <w:sz w:val="24"/>
          <w:szCs w:val="24"/>
        </w:rPr>
        <w:t>7.5 KPIs, instrumentation &amp; evidence</w:t>
      </w:r>
      <w:bookmarkEnd w:id="18"/>
    </w:p>
    <w:p w14:paraId="701AD6F4" w14:textId="70F98F50" w:rsidR="25C62ED6" w:rsidRDefault="25C62ED6" w:rsidP="16993B23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b/>
          <w:bCs/>
          <w:sz w:val="21"/>
          <w:szCs w:val="21"/>
        </w:rPr>
        <w:t>Registration completion</w:t>
      </w:r>
      <w:r w:rsidRPr="16993B23">
        <w:rPr>
          <w:rFonts w:ascii="Segoe UI" w:eastAsia="Segoe UI" w:hAnsi="Segoe UI" w:cs="Segoe UI"/>
          <w:sz w:val="21"/>
          <w:szCs w:val="21"/>
        </w:rPr>
        <w:t xml:space="preserve"> ↑ (+20–50%).</w:t>
      </w:r>
    </w:p>
    <w:p w14:paraId="45027390" w14:textId="1C270314" w:rsidR="25C62ED6" w:rsidRDefault="25C62ED6" w:rsidP="16993B23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b/>
          <w:bCs/>
          <w:sz w:val="21"/>
          <w:szCs w:val="21"/>
        </w:rPr>
        <w:t>Account‑creation abandonment</w:t>
      </w:r>
      <w:r w:rsidRPr="16993B23">
        <w:rPr>
          <w:rFonts w:ascii="Segoe UI" w:eastAsia="Segoe UI" w:hAnsi="Segoe UI" w:cs="Segoe UI"/>
          <w:sz w:val="21"/>
          <w:szCs w:val="21"/>
        </w:rPr>
        <w:t xml:space="preserve"> ↓ (≥20–26%).</w:t>
      </w:r>
    </w:p>
    <w:p w14:paraId="67E6FFB6" w14:textId="2E78E1A0" w:rsidR="25C62ED6" w:rsidRDefault="25C62ED6" w:rsidP="16993B23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b/>
          <w:bCs/>
          <w:sz w:val="21"/>
          <w:szCs w:val="21"/>
        </w:rPr>
        <w:t>Time‑to‑sign‑up</w:t>
      </w:r>
      <w:r w:rsidRPr="16993B23">
        <w:rPr>
          <w:rFonts w:ascii="Segoe UI" w:eastAsia="Segoe UI" w:hAnsi="Segoe UI" w:cs="Segoe UI"/>
          <w:sz w:val="21"/>
          <w:szCs w:val="21"/>
        </w:rPr>
        <w:t xml:space="preserve"> ↓ (≥4×).</w:t>
      </w:r>
    </w:p>
    <w:p w14:paraId="5290DC25" w14:textId="0E440006" w:rsidR="25C62ED6" w:rsidRDefault="25C62ED6" w:rsidP="16993B23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b/>
          <w:bCs/>
          <w:sz w:val="21"/>
          <w:szCs w:val="21"/>
        </w:rPr>
        <w:t>Password resets</w:t>
      </w:r>
      <w:r w:rsidRPr="16993B23">
        <w:rPr>
          <w:rFonts w:ascii="Segoe UI" w:eastAsia="Segoe UI" w:hAnsi="Segoe UI" w:cs="Segoe UI"/>
          <w:sz w:val="21"/>
          <w:szCs w:val="21"/>
        </w:rPr>
        <w:t xml:space="preserve"> ↓ materially.</w:t>
      </w:r>
    </w:p>
    <w:p w14:paraId="7683B450" w14:textId="191B727C" w:rsidR="25C62ED6" w:rsidRDefault="25C62ED6" w:rsidP="16993B23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b/>
          <w:bCs/>
          <w:sz w:val="21"/>
          <w:szCs w:val="21"/>
        </w:rPr>
        <w:t>Playwright proof</w:t>
      </w:r>
      <w:r w:rsidRPr="16993B23">
        <w:rPr>
          <w:rFonts w:ascii="Segoe UI" w:eastAsia="Segoe UI" w:hAnsi="Segoe UI" w:cs="Segoe UI"/>
          <w:sz w:val="21"/>
          <w:szCs w:val="21"/>
        </w:rPr>
        <w:t xml:space="preserve">: per‑provider login scripts;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screenshots + HTML reports</w:t>
      </w:r>
      <w:r w:rsidRPr="16993B23">
        <w:rPr>
          <w:rFonts w:ascii="Segoe UI" w:eastAsia="Segoe UI" w:hAnsi="Segoe UI" w:cs="Segoe UI"/>
          <w:sz w:val="21"/>
          <w:szCs w:val="21"/>
        </w:rPr>
        <w:t xml:space="preserve"> as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CI artifacts</w:t>
      </w:r>
      <w:r w:rsidRPr="16993B23">
        <w:rPr>
          <w:rFonts w:ascii="Segoe UI" w:eastAsia="Segoe UI" w:hAnsi="Segoe UI" w:cs="Segoe UI"/>
          <w:sz w:val="21"/>
          <w:szCs w:val="21"/>
        </w:rPr>
        <w:t xml:space="preserve"> on each PR/run.</w:t>
      </w:r>
    </w:p>
    <w:p w14:paraId="3DC2CEE5" w14:textId="2BC46068" w:rsidR="25C62ED6" w:rsidRDefault="25C62ED6" w:rsidP="16993B23">
      <w:pPr>
        <w:pStyle w:val="Heading3"/>
        <w:spacing w:before="246" w:after="246" w:line="300" w:lineRule="auto"/>
      </w:pPr>
      <w:bookmarkStart w:id="19" w:name="_Toc223667437"/>
      <w:r w:rsidRPr="16993B23">
        <w:rPr>
          <w:rFonts w:ascii="Segoe UI" w:eastAsia="Segoe UI" w:hAnsi="Segoe UI" w:cs="Segoe UI"/>
          <w:sz w:val="24"/>
          <w:szCs w:val="24"/>
        </w:rPr>
        <w:lastRenderedPageBreak/>
        <w:t>7.6 14‑day implementation plan (no pricing)</w:t>
      </w:r>
      <w:bookmarkEnd w:id="19"/>
    </w:p>
    <w:p w14:paraId="3F84B35F" w14:textId="37C2DDEE" w:rsidR="25C62ED6" w:rsidRDefault="25C62ED6" w:rsidP="16993B23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b/>
          <w:bCs/>
          <w:sz w:val="21"/>
          <w:szCs w:val="21"/>
        </w:rPr>
        <w:t>Days 1–2</w:t>
      </w:r>
      <w:r w:rsidRPr="16993B23">
        <w:rPr>
          <w:rFonts w:ascii="Segoe UI" w:eastAsia="Segoe UI" w:hAnsi="Segoe UI" w:cs="Segoe UI"/>
          <w:sz w:val="21"/>
          <w:szCs w:val="21"/>
        </w:rPr>
        <w:t>: IdP configs (Google/Microsoft), PKCE, callback routes, CSRF, secure cookies.</w:t>
      </w:r>
    </w:p>
    <w:p w14:paraId="73DCB221" w14:textId="793060D8" w:rsidR="25C62ED6" w:rsidRDefault="25C62ED6" w:rsidP="16993B23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b/>
          <w:bCs/>
          <w:sz w:val="21"/>
          <w:szCs w:val="21"/>
        </w:rPr>
        <w:t>Days 3–4</w:t>
      </w:r>
      <w:r w:rsidRPr="16993B23">
        <w:rPr>
          <w:rFonts w:ascii="Segoe UI" w:eastAsia="Segoe UI" w:hAnsi="Segoe UI" w:cs="Segoe UI"/>
          <w:sz w:val="21"/>
          <w:szCs w:val="21"/>
        </w:rPr>
        <w:t>: One Tap surfaces + login page buttons; responsive &amp; accessible.</w:t>
      </w:r>
    </w:p>
    <w:p w14:paraId="66EB4EB9" w14:textId="07A19E39" w:rsidR="25C62ED6" w:rsidRDefault="25C62ED6" w:rsidP="16993B23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b/>
          <w:bCs/>
          <w:sz w:val="21"/>
          <w:szCs w:val="21"/>
        </w:rPr>
        <w:t>Days 5–6</w:t>
      </w:r>
      <w:r w:rsidRPr="16993B23">
        <w:rPr>
          <w:rFonts w:ascii="Segoe UI" w:eastAsia="Segoe UI" w:hAnsi="Segoe UI" w:cs="Segoe UI"/>
          <w:sz w:val="21"/>
          <w:szCs w:val="21"/>
        </w:rPr>
        <w:t>: JIT provisioning; profile normalization; structured logs + correlation IDs.</w:t>
      </w:r>
    </w:p>
    <w:p w14:paraId="23CEAF51" w14:textId="2F5220B1" w:rsidR="25C62ED6" w:rsidRDefault="25C62ED6" w:rsidP="16993B23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b/>
          <w:bCs/>
          <w:sz w:val="21"/>
          <w:szCs w:val="21"/>
        </w:rPr>
        <w:t>Days 7–8</w:t>
      </w:r>
      <w:r w:rsidRPr="16993B23">
        <w:rPr>
          <w:rFonts w:ascii="Segoe UI" w:eastAsia="Segoe UI" w:hAnsi="Segoe UI" w:cs="Segoe UI"/>
          <w:sz w:val="21"/>
          <w:szCs w:val="21"/>
        </w:rPr>
        <w:t xml:space="preserve">: Add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Apple</w:t>
      </w:r>
      <w:r w:rsidRPr="16993B23">
        <w:rPr>
          <w:rFonts w:ascii="Segoe UI" w:eastAsia="Segoe UI" w:hAnsi="Segoe UI" w:cs="Segoe UI"/>
          <w:sz w:val="21"/>
          <w:szCs w:val="21"/>
        </w:rPr>
        <w:t xml:space="preserve"> +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LinkedIn</w:t>
      </w:r>
      <w:r w:rsidRPr="16993B23">
        <w:rPr>
          <w:rFonts w:ascii="Segoe UI" w:eastAsia="Segoe UI" w:hAnsi="Segoe UI" w:cs="Segoe UI"/>
          <w:sz w:val="21"/>
          <w:szCs w:val="21"/>
        </w:rPr>
        <w:t xml:space="preserve"> (feature flags); analytics; rate‑limit &amp;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idempotent</w:t>
      </w:r>
      <w:r w:rsidRPr="16993B23">
        <w:rPr>
          <w:rFonts w:ascii="Segoe UI" w:eastAsia="Segoe UI" w:hAnsi="Segoe UI" w:cs="Segoe UI"/>
          <w:sz w:val="21"/>
          <w:szCs w:val="21"/>
        </w:rPr>
        <w:t xml:space="preserve"> callbacks.</w:t>
      </w:r>
    </w:p>
    <w:p w14:paraId="4462F18C" w14:textId="711B04C6" w:rsidR="25C62ED6" w:rsidRDefault="25C62ED6" w:rsidP="16993B23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b/>
          <w:bCs/>
          <w:sz w:val="21"/>
          <w:szCs w:val="21"/>
        </w:rPr>
        <w:t>Days 9–10</w:t>
      </w:r>
      <w:r w:rsidRPr="16993B23">
        <w:rPr>
          <w:rFonts w:ascii="Segoe UI" w:eastAsia="Segoe UI" w:hAnsi="Segoe UI" w:cs="Segoe UI"/>
          <w:sz w:val="21"/>
          <w:szCs w:val="21"/>
        </w:rPr>
        <w:t xml:space="preserve">: Playwright tests for all providers; export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screenshots/HTML</w:t>
      </w:r>
      <w:r w:rsidRPr="16993B23">
        <w:rPr>
          <w:rFonts w:ascii="Segoe UI" w:eastAsia="Segoe UI" w:hAnsi="Segoe UI" w:cs="Segoe UI"/>
          <w:sz w:val="21"/>
          <w:szCs w:val="21"/>
        </w:rPr>
        <w:t xml:space="preserve"> to CI artifacts.</w:t>
      </w:r>
    </w:p>
    <w:p w14:paraId="3A38A876" w14:textId="0F824ECD" w:rsidR="25C62ED6" w:rsidRDefault="25C62ED6" w:rsidP="16993B23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b/>
          <w:bCs/>
          <w:sz w:val="21"/>
          <w:szCs w:val="21"/>
        </w:rPr>
        <w:t>Days 11–12</w:t>
      </w:r>
      <w:r w:rsidRPr="16993B23">
        <w:rPr>
          <w:rFonts w:ascii="Segoe UI" w:eastAsia="Segoe UI" w:hAnsi="Segoe UI" w:cs="Segoe UI"/>
          <w:sz w:val="21"/>
          <w:szCs w:val="21"/>
        </w:rPr>
        <w:t>: A/B experiment wiring; dashboards for conversion/abandonment/time‑to‑sign‑up.</w:t>
      </w:r>
    </w:p>
    <w:p w14:paraId="4FFAFB91" w14:textId="0D976A70" w:rsidR="25C62ED6" w:rsidRDefault="25C62ED6" w:rsidP="16993B23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b/>
          <w:bCs/>
          <w:sz w:val="21"/>
          <w:szCs w:val="21"/>
        </w:rPr>
        <w:t>Days 13–14</w:t>
      </w:r>
      <w:r w:rsidRPr="16993B23">
        <w:rPr>
          <w:rFonts w:ascii="Segoe UI" w:eastAsia="Segoe UI" w:hAnsi="Segoe UI" w:cs="Segoe UI"/>
          <w:sz w:val="21"/>
          <w:szCs w:val="21"/>
        </w:rPr>
        <w:t>: Hardening; content/tone review; controlled rollout behind flags.</w:t>
      </w:r>
    </w:p>
    <w:p w14:paraId="40AA13D7" w14:textId="678078F1" w:rsidR="25C62ED6" w:rsidRDefault="25C62ED6" w:rsidP="16993B23">
      <w:pPr>
        <w:pStyle w:val="Heading3"/>
        <w:spacing w:before="246" w:after="246" w:line="300" w:lineRule="auto"/>
      </w:pPr>
      <w:bookmarkStart w:id="20" w:name="_Toc223667438"/>
      <w:r w:rsidRPr="16993B23">
        <w:rPr>
          <w:rFonts w:ascii="Segoe UI" w:eastAsia="Segoe UI" w:hAnsi="Segoe UI" w:cs="Segoe UI"/>
          <w:sz w:val="24"/>
          <w:szCs w:val="24"/>
        </w:rPr>
        <w:t>7.7 Governance &amp; privacy notes</w:t>
      </w:r>
      <w:bookmarkEnd w:id="20"/>
    </w:p>
    <w:p w14:paraId="2B1F1627" w14:textId="5ACD2F70" w:rsidR="25C62ED6" w:rsidRDefault="25C62ED6" w:rsidP="16993B23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b/>
          <w:bCs/>
          <w:sz w:val="21"/>
          <w:szCs w:val="21"/>
        </w:rPr>
        <w:t>Data minimization</w:t>
      </w:r>
      <w:r w:rsidRPr="16993B23">
        <w:rPr>
          <w:rFonts w:ascii="Segoe UI" w:eastAsia="Segoe UI" w:hAnsi="Segoe UI" w:cs="Segoe UI"/>
          <w:sz w:val="21"/>
          <w:szCs w:val="21"/>
        </w:rPr>
        <w:t xml:space="preserve">: store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IdP subject</w:t>
      </w:r>
      <w:r w:rsidRPr="16993B23">
        <w:rPr>
          <w:rFonts w:ascii="Segoe UI" w:eastAsia="Segoe UI" w:hAnsi="Segoe UI" w:cs="Segoe UI"/>
          <w:sz w:val="21"/>
          <w:szCs w:val="21"/>
        </w:rPr>
        <w:t xml:space="preserve">, display name, email (as required), and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consents</w:t>
      </w:r>
      <w:r w:rsidRPr="16993B23">
        <w:rPr>
          <w:rFonts w:ascii="Segoe UI" w:eastAsia="Segoe UI" w:hAnsi="Segoe UI" w:cs="Segoe UI"/>
          <w:sz w:val="21"/>
          <w:szCs w:val="21"/>
        </w:rPr>
        <w:t xml:space="preserve"> —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no password hashes</w:t>
      </w:r>
      <w:r w:rsidRPr="16993B23">
        <w:rPr>
          <w:rFonts w:ascii="Segoe UI" w:eastAsia="Segoe UI" w:hAnsi="Segoe UI" w:cs="Segoe UI"/>
          <w:sz w:val="21"/>
          <w:szCs w:val="21"/>
        </w:rPr>
        <w:t xml:space="preserve"> for new accounts.</w:t>
      </w:r>
    </w:p>
    <w:p w14:paraId="2C5C4897" w14:textId="28666200" w:rsidR="25C62ED6" w:rsidRDefault="25C62ED6" w:rsidP="16993B23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b/>
          <w:bCs/>
          <w:sz w:val="21"/>
          <w:szCs w:val="21"/>
        </w:rPr>
        <w:t>Consent &amp; privacy</w:t>
      </w:r>
      <w:r w:rsidRPr="16993B23">
        <w:rPr>
          <w:rFonts w:ascii="Segoe UI" w:eastAsia="Segoe UI" w:hAnsi="Segoe UI" w:cs="Segoe UI"/>
          <w:sz w:val="21"/>
          <w:szCs w:val="21"/>
        </w:rPr>
        <w:t>: show lawful basis and retention statements during onboarding.</w:t>
      </w:r>
    </w:p>
    <w:p w14:paraId="2BE6EA18" w14:textId="14777DDC" w:rsidR="25C62ED6" w:rsidRDefault="25C62ED6" w:rsidP="16993B23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16993B23">
        <w:rPr>
          <w:rFonts w:ascii="Segoe UI" w:eastAsia="Segoe UI" w:hAnsi="Segoe UI" w:cs="Segoe UI"/>
          <w:b/>
          <w:bCs/>
          <w:sz w:val="21"/>
          <w:szCs w:val="21"/>
        </w:rPr>
        <w:t>Secrets hygiene</w:t>
      </w:r>
      <w:r w:rsidRPr="16993B23">
        <w:rPr>
          <w:rFonts w:ascii="Segoe UI" w:eastAsia="Segoe UI" w:hAnsi="Segoe UI" w:cs="Segoe UI"/>
          <w:sz w:val="21"/>
          <w:szCs w:val="21"/>
        </w:rPr>
        <w:t xml:space="preserve">: treat IdP credentials/redirect URIs as secrets; </w:t>
      </w:r>
      <w:r w:rsidRPr="16993B23">
        <w:rPr>
          <w:rFonts w:ascii="Segoe UI" w:eastAsia="Segoe UI" w:hAnsi="Segoe UI" w:cs="Segoe UI"/>
          <w:b/>
          <w:bCs/>
          <w:sz w:val="21"/>
          <w:szCs w:val="21"/>
        </w:rPr>
        <w:t>secret store + rotation</w:t>
      </w:r>
      <w:r w:rsidRPr="16993B23">
        <w:rPr>
          <w:rFonts w:ascii="Segoe UI" w:eastAsia="Segoe UI" w:hAnsi="Segoe UI" w:cs="Segoe UI"/>
          <w:sz w:val="21"/>
          <w:szCs w:val="21"/>
        </w:rPr>
        <w:t>.</w:t>
      </w:r>
    </w:p>
    <w:p w14:paraId="0334A4A0" w14:textId="49D26644" w:rsidR="16993B23" w:rsidRDefault="16993B23"/>
    <w:p w14:paraId="7CA5ED86" w14:textId="77777777" w:rsidR="00A53392" w:rsidRDefault="00000000">
      <w:pPr>
        <w:pStyle w:val="Heading1"/>
      </w:pPr>
      <w:bookmarkStart w:id="21" w:name="_Toc223667439"/>
      <w:r>
        <w:t>8. Remediation Programme &amp; Evidence Gates (No Pricing)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391"/>
        <w:gridCol w:w="2150"/>
        <w:gridCol w:w="2157"/>
      </w:tblGrid>
      <w:tr w:rsidR="00A53392" w14:paraId="4AD7A595" w14:textId="77777777">
        <w:tc>
          <w:tcPr>
            <w:tcW w:w="2160" w:type="dxa"/>
          </w:tcPr>
          <w:p w14:paraId="661B0C4B" w14:textId="77777777" w:rsidR="00A53392" w:rsidRDefault="00000000">
            <w:r>
              <w:t>Phase</w:t>
            </w:r>
          </w:p>
        </w:tc>
        <w:tc>
          <w:tcPr>
            <w:tcW w:w="2160" w:type="dxa"/>
          </w:tcPr>
          <w:p w14:paraId="56DABE0D" w14:textId="77777777" w:rsidR="00A53392" w:rsidRDefault="00000000">
            <w:r>
              <w:t>Scope</w:t>
            </w:r>
          </w:p>
        </w:tc>
        <w:tc>
          <w:tcPr>
            <w:tcW w:w="2160" w:type="dxa"/>
          </w:tcPr>
          <w:p w14:paraId="6701C76E" w14:textId="77777777" w:rsidR="00A53392" w:rsidRDefault="00000000">
            <w:r>
              <w:t>Indicative Effort</w:t>
            </w:r>
          </w:p>
        </w:tc>
        <w:tc>
          <w:tcPr>
            <w:tcW w:w="2160" w:type="dxa"/>
          </w:tcPr>
          <w:p w14:paraId="6A068DF3" w14:textId="77777777" w:rsidR="00A53392" w:rsidRDefault="00000000">
            <w:r>
              <w:t>Gate (Acceptance)</w:t>
            </w:r>
          </w:p>
        </w:tc>
      </w:tr>
      <w:tr w:rsidR="00A53392" w14:paraId="6CAF831A" w14:textId="77777777">
        <w:tc>
          <w:tcPr>
            <w:tcW w:w="2160" w:type="dxa"/>
          </w:tcPr>
          <w:p w14:paraId="1FB4C6E1" w14:textId="77777777" w:rsidR="00A53392" w:rsidRDefault="00000000">
            <w:r>
              <w:t>0 — Emergency</w:t>
            </w:r>
          </w:p>
        </w:tc>
        <w:tc>
          <w:tcPr>
            <w:tcW w:w="2160" w:type="dxa"/>
          </w:tcPr>
          <w:p w14:paraId="4A82F370" w14:textId="77777777" w:rsidR="00A53392" w:rsidRDefault="00000000">
            <w:r>
              <w:t>Disable prod errors; strip debug; secrets→env; rotate</w:t>
            </w:r>
          </w:p>
        </w:tc>
        <w:tc>
          <w:tcPr>
            <w:tcW w:w="2160" w:type="dxa"/>
          </w:tcPr>
          <w:p w14:paraId="1EF14EE3" w14:textId="77777777" w:rsidR="00A53392" w:rsidRDefault="00000000">
            <w:r>
              <w:t>2–3 days</w:t>
            </w:r>
          </w:p>
        </w:tc>
        <w:tc>
          <w:tcPr>
            <w:tcW w:w="2160" w:type="dxa"/>
          </w:tcPr>
          <w:p w14:paraId="5E1C9377" w14:textId="77777777" w:rsidR="00A53392" w:rsidRDefault="00000000">
            <w:r>
              <w:t>P0 closed in staging (screenshots/logs)</w:t>
            </w:r>
          </w:p>
        </w:tc>
      </w:tr>
      <w:tr w:rsidR="00A53392" w14:paraId="6D77C977" w14:textId="77777777">
        <w:tc>
          <w:tcPr>
            <w:tcW w:w="2160" w:type="dxa"/>
          </w:tcPr>
          <w:p w14:paraId="259F69D1" w14:textId="77777777" w:rsidR="00A53392" w:rsidRDefault="00000000">
            <w:r>
              <w:t>1 — Security</w:t>
            </w:r>
          </w:p>
        </w:tc>
        <w:tc>
          <w:tcPr>
            <w:tcW w:w="2160" w:type="dxa"/>
          </w:tcPr>
          <w:p w14:paraId="7DB5C5AC" w14:textId="77777777" w:rsidR="00A53392" w:rsidRDefault="00000000">
            <w:r>
              <w:t>Hashing/CSRF/XSS/SQLi; WAF/logging</w:t>
            </w:r>
          </w:p>
        </w:tc>
        <w:tc>
          <w:tcPr>
            <w:tcW w:w="2160" w:type="dxa"/>
          </w:tcPr>
          <w:p w14:paraId="09B21413" w14:textId="77777777" w:rsidR="00A53392" w:rsidRDefault="00000000">
            <w:r>
              <w:t>2–3 weeks</w:t>
            </w:r>
          </w:p>
        </w:tc>
        <w:tc>
          <w:tcPr>
            <w:tcW w:w="2160" w:type="dxa"/>
          </w:tcPr>
          <w:p w14:paraId="7F4BF8FA" w14:textId="77777777" w:rsidR="00A53392" w:rsidRDefault="00000000">
            <w:r>
              <w:t>Security evidence pack (CI artifacts)</w:t>
            </w:r>
          </w:p>
        </w:tc>
      </w:tr>
      <w:tr w:rsidR="00A53392" w14:paraId="3AFB4010" w14:textId="77777777">
        <w:tc>
          <w:tcPr>
            <w:tcW w:w="2160" w:type="dxa"/>
          </w:tcPr>
          <w:p w14:paraId="6EDBB1E9" w14:textId="77777777" w:rsidR="00A53392" w:rsidRDefault="00000000">
            <w:r>
              <w:t>2 — Resilience</w:t>
            </w:r>
          </w:p>
        </w:tc>
        <w:tc>
          <w:tcPr>
            <w:tcW w:w="2160" w:type="dxa"/>
          </w:tcPr>
          <w:p w14:paraId="545F42C6" w14:textId="77777777" w:rsidR="00A53392" w:rsidRDefault="00000000">
            <w:r>
              <w:t>Idempotency; rate‑limit; audit trail</w:t>
            </w:r>
          </w:p>
        </w:tc>
        <w:tc>
          <w:tcPr>
            <w:tcW w:w="2160" w:type="dxa"/>
          </w:tcPr>
          <w:p w14:paraId="05DDE953" w14:textId="77777777" w:rsidR="00A53392" w:rsidRDefault="00000000">
            <w:r>
              <w:t>3–4 weeks</w:t>
            </w:r>
          </w:p>
        </w:tc>
        <w:tc>
          <w:tcPr>
            <w:tcW w:w="2160" w:type="dxa"/>
          </w:tcPr>
          <w:p w14:paraId="6310CBAD" w14:textId="77777777" w:rsidR="00A53392" w:rsidRDefault="00000000">
            <w:r>
              <w:t>E2E green + artifacts</w:t>
            </w:r>
          </w:p>
        </w:tc>
      </w:tr>
      <w:tr w:rsidR="00A53392" w14:paraId="6660DE39" w14:textId="77777777">
        <w:tc>
          <w:tcPr>
            <w:tcW w:w="2160" w:type="dxa"/>
          </w:tcPr>
          <w:p w14:paraId="414C968B" w14:textId="77777777" w:rsidR="00A53392" w:rsidRDefault="00000000">
            <w:r>
              <w:t>3 — Observability/Scale</w:t>
            </w:r>
          </w:p>
        </w:tc>
        <w:tc>
          <w:tcPr>
            <w:tcW w:w="2160" w:type="dxa"/>
          </w:tcPr>
          <w:p w14:paraId="72E7F3D4" w14:textId="77777777" w:rsidR="00A53392" w:rsidRDefault="00000000">
            <w:r>
              <w:t>Logs; tracing; runbooks; CI screenshots</w:t>
            </w:r>
          </w:p>
        </w:tc>
        <w:tc>
          <w:tcPr>
            <w:tcW w:w="2160" w:type="dxa"/>
          </w:tcPr>
          <w:p w14:paraId="1A103AF6" w14:textId="77777777" w:rsidR="00A53392" w:rsidRDefault="00000000">
            <w:r>
              <w:t>4–6 weeks</w:t>
            </w:r>
          </w:p>
        </w:tc>
        <w:tc>
          <w:tcPr>
            <w:tcW w:w="2160" w:type="dxa"/>
          </w:tcPr>
          <w:p w14:paraId="6EE7BF90" w14:textId="77777777" w:rsidR="00A53392" w:rsidRDefault="00000000">
            <w:r>
              <w:t>SLO dashboards ready</w:t>
            </w:r>
          </w:p>
        </w:tc>
      </w:tr>
      <w:tr w:rsidR="00A53392" w14:paraId="452E70EE" w14:textId="77777777">
        <w:tc>
          <w:tcPr>
            <w:tcW w:w="2160" w:type="dxa"/>
          </w:tcPr>
          <w:p w14:paraId="652CAD54" w14:textId="77777777" w:rsidR="00A53392" w:rsidRDefault="00000000">
            <w:r>
              <w:t>4 — Compliance</w:t>
            </w:r>
          </w:p>
        </w:tc>
        <w:tc>
          <w:tcPr>
            <w:tcW w:w="2160" w:type="dxa"/>
          </w:tcPr>
          <w:p w14:paraId="07144B70" w14:textId="77777777" w:rsidR="00A53392" w:rsidRDefault="00000000">
            <w:r>
              <w:t>PCI/GDPR/POPIA workflows; pen‑test</w:t>
            </w:r>
          </w:p>
        </w:tc>
        <w:tc>
          <w:tcPr>
            <w:tcW w:w="2160" w:type="dxa"/>
          </w:tcPr>
          <w:p w14:paraId="7D678B99" w14:textId="77777777" w:rsidR="00A53392" w:rsidRDefault="00000000">
            <w:r>
              <w:t>6–10 weeks</w:t>
            </w:r>
          </w:p>
        </w:tc>
        <w:tc>
          <w:tcPr>
            <w:tcW w:w="2160" w:type="dxa"/>
          </w:tcPr>
          <w:p w14:paraId="5EC4F892" w14:textId="77777777" w:rsidR="00A53392" w:rsidRDefault="00000000">
            <w:r>
              <w:t>Auditor sign‑off</w:t>
            </w:r>
          </w:p>
        </w:tc>
      </w:tr>
    </w:tbl>
    <w:p w14:paraId="7CC5093E" w14:textId="77777777" w:rsidR="00A53392" w:rsidRDefault="00000000">
      <w:pPr>
        <w:pStyle w:val="Heading1"/>
      </w:pPr>
      <w:bookmarkStart w:id="22" w:name="_Toc223667440"/>
      <w:r>
        <w:lastRenderedPageBreak/>
        <w:t>9. CI/CD Evidence Pack</w:t>
      </w:r>
      <w:bookmarkEnd w:id="22"/>
    </w:p>
    <w:p w14:paraId="131116AB" w14:textId="77777777" w:rsidR="00A53392" w:rsidRDefault="00000000">
      <w:r>
        <w:t>GitHub Actions runs Playwright UI/E2E with screenshots + HTML report artifacts per run/PR. Closure memos link artifacts to prove risk closure to executives and auditors.</w:t>
      </w:r>
    </w:p>
    <w:p w14:paraId="7C2EA75B" w14:textId="77777777" w:rsidR="00A53392" w:rsidRDefault="00000000">
      <w:pPr>
        <w:pStyle w:val="Heading1"/>
      </w:pPr>
      <w:bookmarkStart w:id="23" w:name="_Toc223667441"/>
      <w:r>
        <w:t>Annex A — Executive Summary (Embedded)</w:t>
      </w:r>
      <w:bookmarkEnd w:id="23"/>
    </w:p>
    <w:p w14:paraId="6FE54037" w14:textId="77777777" w:rsidR="00A53392" w:rsidRDefault="00000000">
      <w:r>
        <w:t>The platform targets luxury travel across multiple lines of business. Today, safety and compliance gaps exist in secrets management, secure coding (SQLi/XSS/CSRF), idempotent booking/payment flows, observability, and privacy. The go‑live stance is Conditional pending closure of P0/P1 items and production of evidence at each gate.</w:t>
      </w:r>
    </w:p>
    <w:p w14:paraId="30E153C8" w14:textId="77777777" w:rsidR="00A53392" w:rsidRDefault="00000000">
      <w:pPr>
        <w:pStyle w:val="Heading1"/>
      </w:pPr>
      <w:bookmarkStart w:id="24" w:name="_Toc223667442"/>
      <w:r>
        <w:t>Annex B — Remediation Roadmap (Embedded)</w:t>
      </w:r>
      <w:bookmarkEnd w:id="24"/>
    </w:p>
    <w:p w14:paraId="728E367F" w14:textId="77777777" w:rsidR="00A53392" w:rsidRDefault="00000000">
      <w:r>
        <w:t>• Phase 0 (Emergency): disable prod errors; strip debug; secrets to env/secret store; rotate. Evidence: screenshots/logs.</w:t>
      </w:r>
    </w:p>
    <w:p w14:paraId="236108FF" w14:textId="77777777" w:rsidR="00A53392" w:rsidRDefault="00000000">
      <w:r>
        <w:t>• Phase 1 (Security): hashing (Argon2id/bcrypt); CSRF; XSS encoding + CSP; fix SQLi; WAF + logging. Evidence: PRs; static scans; pen‑test closure.</w:t>
      </w:r>
    </w:p>
    <w:p w14:paraId="0BD05472" w14:textId="77777777" w:rsidR="00A53392" w:rsidRDefault="00000000">
      <w:r>
        <w:t>• Phase 2 (Resilience): idempotency on booking/payment; rate‑limit; audit trail. Evidence: retry tests; idempotency store audit.</w:t>
      </w:r>
    </w:p>
    <w:p w14:paraId="4F54F512" w14:textId="77777777" w:rsidR="00A53392" w:rsidRDefault="00000000">
      <w:r>
        <w:t>• Phase 3 (Observability/Scale): structured logs; correlation IDs; tracing; runbooks; CI screenshots. Evidence: SLO dashboards.</w:t>
      </w:r>
    </w:p>
    <w:p w14:paraId="02C98939" w14:textId="77777777" w:rsidR="00A53392" w:rsidRDefault="00000000">
      <w:r>
        <w:t>• Phase 4 (Compliance): PCI scope‑reduction; GDPR/POPIA workflows; pen‑test and auditor sign‑off. Evidence: auditor folders.</w:t>
      </w:r>
    </w:p>
    <w:p w14:paraId="51DB177F" w14:textId="77777777" w:rsidR="00A53392" w:rsidRDefault="00000000">
      <w:pPr>
        <w:pStyle w:val="Heading1"/>
      </w:pPr>
      <w:bookmarkStart w:id="25" w:name="_Toc223667443"/>
      <w:r>
        <w:t>Annex C — Quick Reference: Top Risks (Embedded)</w:t>
      </w:r>
      <w:bookmarkEnd w:id="25"/>
    </w:p>
    <w:p w14:paraId="559EA20A" w14:textId="77777777" w:rsidR="00A53392" w:rsidRDefault="00000000">
      <w:r>
        <w:t>• P0: Verbose errors/logging in customer‑facing flows (payments/booking).</w:t>
      </w:r>
    </w:p>
    <w:p w14:paraId="3860B171" w14:textId="77777777" w:rsidR="00A53392" w:rsidRDefault="00000000">
      <w:r>
        <w:t>• P0: Plaintext/embedded credentials.</w:t>
      </w:r>
    </w:p>
    <w:p w14:paraId="54102878" w14:textId="77777777" w:rsidR="00A53392" w:rsidRDefault="00000000">
      <w:r>
        <w:t xml:space="preserve">• P0: No idempotency </w:t>
      </w:r>
      <w:proofErr w:type="gramStart"/>
      <w:r>
        <w:t>on</w:t>
      </w:r>
      <w:proofErr w:type="gramEnd"/>
      <w:r>
        <w:t xml:space="preserve"> booking/payment POSTs.</w:t>
      </w:r>
    </w:p>
    <w:p w14:paraId="4E4C1327" w14:textId="77777777" w:rsidR="00A53392" w:rsidRDefault="00000000">
      <w:r>
        <w:t>• P0: Dynamic SQL (SQLi risk) and missing input validation.</w:t>
      </w:r>
    </w:p>
    <w:p w14:paraId="7551E896" w14:textId="77777777" w:rsidR="00A53392" w:rsidRDefault="00000000">
      <w:r>
        <w:t>• P1: Missing CSRF tokens; cookie flags not enforced.</w:t>
      </w:r>
    </w:p>
    <w:p w14:paraId="67C596A6" w14:textId="77777777" w:rsidR="00A53392" w:rsidRDefault="00000000">
      <w:r>
        <w:t>• P1: Unescaped output (XSS paths).</w:t>
      </w:r>
    </w:p>
    <w:p w14:paraId="27CA00BB" w14:textId="77777777" w:rsidR="00A53392" w:rsidRDefault="00000000">
      <w:r>
        <w:t>• P1: Lack of structured logs/tracing; no correlation IDs.</w:t>
      </w:r>
    </w:p>
    <w:p w14:paraId="04A4331F" w14:textId="77777777" w:rsidR="00A53392" w:rsidRDefault="00000000">
      <w:r>
        <w:t>• P1: Incomplete HK/HL/UC handling in hotels.</w:t>
      </w:r>
    </w:p>
    <w:p w14:paraId="205FA0D1" w14:textId="77777777" w:rsidR="00A53392" w:rsidRDefault="00000000">
      <w:r>
        <w:lastRenderedPageBreak/>
        <w:t>• P1: TTL mismatch &amp; missing repricing at checkout.</w:t>
      </w:r>
    </w:p>
    <w:p w14:paraId="46B72532" w14:textId="77777777" w:rsidR="00A53392" w:rsidRDefault="00000000">
      <w:pPr>
        <w:pStyle w:val="Heading1"/>
      </w:pPr>
      <w:bookmarkStart w:id="26" w:name="_Toc223667444"/>
      <w:r>
        <w:t>Annex D — Development Plan (Embedded, No Pricing)</w:t>
      </w:r>
      <w:bookmarkEnd w:id="26"/>
    </w:p>
    <w:p w14:paraId="462A2B7B" w14:textId="77777777" w:rsidR="00A53392" w:rsidRDefault="00000000">
      <w:r>
        <w:t>• Security Infrastructure: env configuration, secret hygiene, password hashing upgrades, WAF/logging.</w:t>
      </w:r>
    </w:p>
    <w:p w14:paraId="4818B758" w14:textId="77777777" w:rsidR="00A53392" w:rsidRDefault="00000000">
      <w:r>
        <w:t>• Testing Infrastructure: unit/E2E; Playwright UI checks uploading screenshots + HTML reports.</w:t>
      </w:r>
    </w:p>
    <w:p w14:paraId="5078A00A" w14:textId="77777777" w:rsidR="00A53392" w:rsidRDefault="00000000">
      <w:r>
        <w:t>• Compliance: PCI scope‑reduction, privacy workflows (retention/erasure), audit packs.</w:t>
      </w:r>
    </w:p>
    <w:p w14:paraId="066B418B" w14:textId="77777777" w:rsidR="00A53392" w:rsidRDefault="00000000">
      <w:r>
        <w:t>• Performance/Scale: caching/CDN, DB optimisation, index tuning, telemetry dashboards.</w:t>
      </w:r>
    </w:p>
    <w:p w14:paraId="3069D6AB" w14:textId="77777777" w:rsidR="00A53392" w:rsidRDefault="00000000">
      <w:r>
        <w:t>• Launch Readiness: rehearsal and rollback drills; SLO targets agreed with stakeholders.</w:t>
      </w:r>
    </w:p>
    <w:p w14:paraId="5D4C0D34" w14:textId="77777777" w:rsidR="00A53392" w:rsidRDefault="00000000">
      <w:pPr>
        <w:pStyle w:val="Heading1"/>
      </w:pPr>
      <w:bookmarkStart w:id="27" w:name="_Toc223667445"/>
      <w:r>
        <w:t>Annex E — Visual Audit Checklist (Embedded)</w:t>
      </w:r>
      <w:bookmarkEnd w:id="27"/>
    </w:p>
    <w:p w14:paraId="680F4AB0" w14:textId="77777777" w:rsidR="00A53392" w:rsidRDefault="00000000">
      <w:r>
        <w:t>• Verify production error settings (generic UI; file logging).</w:t>
      </w:r>
    </w:p>
    <w:p w14:paraId="0E91AC45" w14:textId="77777777" w:rsidR="00A53392" w:rsidRDefault="00000000">
      <w:r>
        <w:t>• Scan for credential artifacts in code/config; move to env/secret store; rotate.</w:t>
      </w:r>
    </w:p>
    <w:p w14:paraId="5F0B2F15" w14:textId="77777777" w:rsidR="00A53392" w:rsidRDefault="00000000">
      <w:r>
        <w:t>• Replace dynamic SQL with prepared statements; validate inputs.</w:t>
      </w:r>
    </w:p>
    <w:p w14:paraId="2E9AE996" w14:textId="77777777" w:rsidR="00A53392" w:rsidRDefault="00000000">
      <w:r>
        <w:t>• Confirm CSRF tokens and secure cookies; apply CSP.</w:t>
      </w:r>
    </w:p>
    <w:p w14:paraId="27976AB2" w14:textId="77777777" w:rsidR="00A53392" w:rsidRDefault="00000000">
      <w:r>
        <w:t>• Exercise idempotency on POSTs with retries; confirm single effect.</w:t>
      </w:r>
    </w:p>
    <w:p w14:paraId="4C07987C" w14:textId="77777777" w:rsidR="00A53392" w:rsidRDefault="00000000">
      <w:r>
        <w:t>• Capture CI evidence: Playwright screenshots + HTML reports attached to each PR/run.</w:t>
      </w:r>
    </w:p>
    <w:p w14:paraId="2F72F4F1" w14:textId="77777777" w:rsidR="00A53392" w:rsidRDefault="00000000">
      <w:pPr>
        <w:pStyle w:val="Heading1"/>
      </w:pPr>
      <w:bookmarkStart w:id="28" w:name="_Toc223667446"/>
      <w:r>
        <w:t>Annex F — Visual Audit Guide (Embedded)</w:t>
      </w:r>
      <w:bookmarkEnd w:id="28"/>
    </w:p>
    <w:p w14:paraId="28C5EBF9" w14:textId="77777777" w:rsidR="00A53392" w:rsidRDefault="00000000">
      <w:r>
        <w:t xml:space="preserve">Key coverage areas </w:t>
      </w:r>
      <w:proofErr w:type="gramStart"/>
      <w:r>
        <w:t>include:</w:t>
      </w:r>
      <w:proofErr w:type="gramEnd"/>
      <w:r>
        <w:t xml:space="preserve"> code‑level screenshots/explanations for payment flow errors, environment configuration, secrets hygiene, hashing, SQLi prevention, CSRF/XSS protections, and visual validations for UX flows. The full source is referenced in the report metadata.</w:t>
      </w:r>
    </w:p>
    <w:p w14:paraId="6C36DEF2" w14:textId="77777777" w:rsidR="00A53392" w:rsidRDefault="00000000">
      <w:r>
        <w:t>• Payment page error/trace handling: verify generic UI and file‑only logs.</w:t>
      </w:r>
    </w:p>
    <w:p w14:paraId="3026303B" w14:textId="77777777" w:rsidR="00A53392" w:rsidRDefault="00000000">
      <w:r>
        <w:t>• Secrets hygiene: confirm no plaintext credentials in repo; env/secret store in use.</w:t>
      </w:r>
    </w:p>
    <w:p w14:paraId="5249B65E" w14:textId="77777777" w:rsidR="00A53392" w:rsidRDefault="00000000">
      <w:r>
        <w:t>• Password hashing: Argon2id/bcrypt with progressive rehash; migration policy.</w:t>
      </w:r>
    </w:p>
    <w:p w14:paraId="04801F90" w14:textId="77777777" w:rsidR="00A53392" w:rsidRDefault="00000000">
      <w:r>
        <w:t>• SQL injection: prepared statements/query builder; input validation rules.</w:t>
      </w:r>
    </w:p>
    <w:p w14:paraId="1BD772A1" w14:textId="77777777" w:rsidR="00A53392" w:rsidRDefault="00000000">
      <w:r>
        <w:t>• XSS/CSRF: output encoding by context; CSP; CSRF tokens; secure cookies.</w:t>
      </w:r>
    </w:p>
    <w:p w14:paraId="119FD18F" w14:textId="77777777" w:rsidR="00A53392" w:rsidRDefault="00000000">
      <w:r>
        <w:t>• UX checks: shortened forms; validation cues; One Tap rendering; provider buttons; mobile views.</w:t>
      </w:r>
    </w:p>
    <w:p w14:paraId="34E2B23F" w14:textId="77777777" w:rsidR="00A53392" w:rsidRDefault="00000000">
      <w:pPr>
        <w:pStyle w:val="Heading1"/>
      </w:pPr>
      <w:bookmarkStart w:id="29" w:name="_Toc223667447"/>
      <w:r>
        <w:lastRenderedPageBreak/>
        <w:t>Annex G — Visual Modernisation Mockups Summary (Embedded)</w:t>
      </w:r>
      <w:bookmarkEnd w:id="29"/>
    </w:p>
    <w:p w14:paraId="579E5CA4" w14:textId="77777777" w:rsidR="00A53392" w:rsidRDefault="00000000">
      <w:r>
        <w:t>The modernisation visuals depict the system state after Phase 4 (Weeks 10–16) with security (Phases 1–2) and compliance (Phase 3) already applied. Highlights:</w:t>
      </w:r>
    </w:p>
    <w:p w14:paraId="29C80C34" w14:textId="77777777" w:rsidR="00A53392" w:rsidRDefault="00000000">
      <w:r>
        <w:t>• Timeline: Phase 1 (Emergency, W1–2) → Phase 2 (Security, W3–4) → Phase 3 (Testing &amp; Compliance, W5–9) → Phase 4 (Design Modernisation, W10–16) with optional Phase 5–6 upgrades.</w:t>
      </w:r>
    </w:p>
    <w:p w14:paraId="5A34874C" w14:textId="77777777" w:rsidR="00A53392" w:rsidRDefault="00000000">
      <w:r>
        <w:t>• Homepage/Search: target &lt;1s load; mobile‑first; real‑time suggestions.</w:t>
      </w:r>
    </w:p>
    <w:p w14:paraId="65712ED3" w14:textId="77777777" w:rsidR="00A53392" w:rsidRDefault="00000000">
      <w:r>
        <w:t>• Search Results: smart filters (airline, price) and sorting to reduce abandonment.</w:t>
      </w:r>
    </w:p>
    <w:p w14:paraId="0CD400BB" w14:textId="77777777" w:rsidR="00A53392" w:rsidRDefault="00000000">
      <w:r>
        <w:t xml:space="preserve">• Checkout: simplified 6 → 3 steps with real‑time validation </w:t>
      </w:r>
      <w:proofErr w:type="gramStart"/>
      <w:r>
        <w:t>and auto‑save</w:t>
      </w:r>
      <w:proofErr w:type="gramEnd"/>
      <w:r>
        <w:t>.</w:t>
      </w:r>
    </w:p>
    <w:p w14:paraId="204F6B58" w14:textId="77777777" w:rsidR="00A53392" w:rsidRDefault="00000000">
      <w:r>
        <w:t>• Payment: secure, PCI‑aligned presentation; success rate target ≥99%; bugged debug output removed.</w:t>
      </w:r>
    </w:p>
    <w:p w14:paraId="1B17E76D" w14:textId="77777777" w:rsidR="00A53392" w:rsidRDefault="00000000">
      <w:r>
        <w:t>• Confirmation: itinerary clarity + upsell options (hotel, insurance).</w:t>
      </w:r>
    </w:p>
    <w:p w14:paraId="7E886E3A" w14:textId="77777777" w:rsidR="00A53392" w:rsidRDefault="00000000">
      <w:r>
        <w:t>• Admin Dashboard: real‑time metrics via WebSockets; simplified cards and alerts.</w:t>
      </w:r>
    </w:p>
    <w:p w14:paraId="675E32AA" w14:textId="77777777" w:rsidR="00A53392" w:rsidRDefault="00000000">
      <w:r>
        <w:t>• Before/After metrics table: Page Load 5–8s → &lt;1s; Payment Success 90% → 99%+; Search Abandonment 40% → &lt;15%; Checkout Abandonment 75% → &lt;20%.</w:t>
      </w:r>
    </w:p>
    <w:p w14:paraId="2081A6D5" w14:textId="77777777" w:rsidR="00A53392" w:rsidRDefault="00000000">
      <w:pPr>
        <w:pStyle w:val="Heading1"/>
      </w:pPr>
      <w:bookmarkStart w:id="30" w:name="_Toc223667448"/>
      <w:r>
        <w:t>Go‑Live Decision</w:t>
      </w:r>
      <w:bookmarkEnd w:id="30"/>
    </w:p>
    <w:p w14:paraId="4A9D936C" w14:textId="77777777" w:rsidR="00A53392" w:rsidRDefault="00000000">
      <w:r>
        <w:t>Proceed only after Phase‑0/1 controls are evidenced in staging and compliance/performance gates pass with artifacts. This v7.3.3 is ready for leadership and partners.</w:t>
      </w:r>
    </w:p>
    <w:sectPr w:rsidR="00A533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CDB40C"/>
    <w:multiLevelType w:val="hybridMultilevel"/>
    <w:tmpl w:val="0D6C31CC"/>
    <w:lvl w:ilvl="0" w:tplc="B08434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1ED9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58E7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40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AEF7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18E4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50D1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9CEC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C478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EDCF2"/>
    <w:multiLevelType w:val="hybridMultilevel"/>
    <w:tmpl w:val="163AF194"/>
    <w:lvl w:ilvl="0" w:tplc="539C0B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FED5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D092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1A82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74F3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DEF7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E2B4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0C56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DA08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B10248"/>
    <w:multiLevelType w:val="hybridMultilevel"/>
    <w:tmpl w:val="C3FA0104"/>
    <w:lvl w:ilvl="0" w:tplc="3D30CF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28CA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0604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C042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1ED9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043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F2F0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C0FE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50CD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222D05"/>
    <w:multiLevelType w:val="hybridMultilevel"/>
    <w:tmpl w:val="A9662BF2"/>
    <w:lvl w:ilvl="0" w:tplc="644AC7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5CE6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980B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C0C8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00ED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4EC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16A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7648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9C5F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D84031"/>
    <w:multiLevelType w:val="hybridMultilevel"/>
    <w:tmpl w:val="4F40DDFC"/>
    <w:lvl w:ilvl="0" w:tplc="C6A2AB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105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C27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A8F2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2864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9C7D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108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76E2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9E2A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2964E0"/>
    <w:multiLevelType w:val="hybridMultilevel"/>
    <w:tmpl w:val="E962F396"/>
    <w:lvl w:ilvl="0" w:tplc="5A9451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F49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20E9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78BC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A8DE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E4D2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6CFB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3AC9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8A3F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AE239E"/>
    <w:multiLevelType w:val="hybridMultilevel"/>
    <w:tmpl w:val="355EDA36"/>
    <w:lvl w:ilvl="0" w:tplc="01DE00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1E58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B092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F0AE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428C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E87B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0AD4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B65F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76BF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298206">
    <w:abstractNumId w:val="15"/>
  </w:num>
  <w:num w:numId="2" w16cid:durableId="1374230612">
    <w:abstractNumId w:val="10"/>
  </w:num>
  <w:num w:numId="3" w16cid:durableId="1740636385">
    <w:abstractNumId w:val="9"/>
  </w:num>
  <w:num w:numId="4" w16cid:durableId="964043409">
    <w:abstractNumId w:val="14"/>
  </w:num>
  <w:num w:numId="5" w16cid:durableId="83115733">
    <w:abstractNumId w:val="13"/>
  </w:num>
  <w:num w:numId="6" w16cid:durableId="1999728192">
    <w:abstractNumId w:val="12"/>
  </w:num>
  <w:num w:numId="7" w16cid:durableId="1067268969">
    <w:abstractNumId w:val="11"/>
  </w:num>
  <w:num w:numId="8" w16cid:durableId="556167299">
    <w:abstractNumId w:val="8"/>
  </w:num>
  <w:num w:numId="9" w16cid:durableId="672032373">
    <w:abstractNumId w:val="6"/>
  </w:num>
  <w:num w:numId="10" w16cid:durableId="2128233021">
    <w:abstractNumId w:val="5"/>
  </w:num>
  <w:num w:numId="11" w16cid:durableId="273367606">
    <w:abstractNumId w:val="4"/>
  </w:num>
  <w:num w:numId="12" w16cid:durableId="1821576601">
    <w:abstractNumId w:val="7"/>
  </w:num>
  <w:num w:numId="13" w16cid:durableId="781607198">
    <w:abstractNumId w:val="3"/>
  </w:num>
  <w:num w:numId="14" w16cid:durableId="1903324213">
    <w:abstractNumId w:val="2"/>
  </w:num>
  <w:num w:numId="15" w16cid:durableId="719018604">
    <w:abstractNumId w:val="1"/>
  </w:num>
  <w:num w:numId="16" w16cid:durableId="151364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2AFB"/>
    <w:rsid w:val="00A53392"/>
    <w:rsid w:val="00AA1D8D"/>
    <w:rsid w:val="00B47730"/>
    <w:rsid w:val="00C2609E"/>
    <w:rsid w:val="00CB0664"/>
    <w:rsid w:val="00FC693F"/>
    <w:rsid w:val="16993B23"/>
    <w:rsid w:val="25C62ED6"/>
    <w:rsid w:val="4199F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E338626-0D44-4EBA-8D22-055345D59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3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260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2609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2609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2609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2228</Words>
  <Characters>14578</Characters>
  <Application>Microsoft Office Word</Application>
  <DocSecurity>0</DocSecurity>
  <Lines>373</Lines>
  <Paragraphs>317</Paragraphs>
  <ScaleCrop>false</ScaleCrop>
  <Manager/>
  <Company/>
  <LinksUpToDate>false</LinksUpToDate>
  <CharactersWithSpaces>16489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Ismail Kucukdurgut</cp:lastModifiedBy>
  <cp:revision>3</cp:revision>
  <dcterms:created xsi:type="dcterms:W3CDTF">2013-12-23T23:15:00Z</dcterms:created>
  <dcterms:modified xsi:type="dcterms:W3CDTF">2026-03-06T05:30:00Z</dcterms:modified>
  <cp:category/>
</cp:coreProperties>
</file>