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rgo-politikası"/>
    <w:p>
      <w:pPr>
        <w:pStyle w:val="Heading1"/>
      </w:pPr>
      <w:r>
        <w:t xml:space="preserve">Kargo Politikası</w:t>
      </w:r>
    </w:p>
    <w:bookmarkStart w:id="20" w:name="iade-koşulları"/>
    <w:p>
      <w:pPr>
        <w:pStyle w:val="Heading2"/>
      </w:pPr>
      <w:r>
        <w:t xml:space="preserve">İade Koşulları</w:t>
      </w:r>
    </w:p>
    <w:p>
      <w:pPr>
        <w:pStyle w:val="FirstParagraph"/>
      </w:pPr>
      <w:r>
        <w:t xml:space="preserve">Ürünler 14 gün içinde iade edilebilir.</w:t>
      </w:r>
    </w:p>
    <w:p>
      <w:pPr>
        <w:pStyle w:val="Compact"/>
        <w:numPr>
          <w:ilvl w:val="0"/>
          <w:numId w:val="1001"/>
        </w:numPr>
      </w:pPr>
      <w:r>
        <w:t xml:space="preserve">Orijinal ambalaj</w:t>
      </w:r>
    </w:p>
    <w:p>
      <w:pPr>
        <w:pStyle w:val="Compact"/>
        <w:numPr>
          <w:ilvl w:val="0"/>
          <w:numId w:val="1001"/>
        </w:numPr>
      </w:pPr>
      <w:r>
        <w:t xml:space="preserve">Fatura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Sipariş tutarı</w:t>
            </w:r>
          </w:p>
        </w:tc>
        <w:tc>
          <w:tcPr/>
          <w:p>
            <w:pPr>
              <w:pStyle w:val="Compact"/>
            </w:pPr>
            <w:r>
              <w:t xml:space="preserve">Kargo ücreti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TL altı</w:t>
            </w:r>
          </w:p>
        </w:tc>
        <w:tc>
          <w:tcPr/>
          <w:p>
            <w:pPr>
              <w:pStyle w:val="Compact"/>
            </w:pPr>
            <w:r>
              <w:t xml:space="preserve">49,90 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TL ve üzeri</w:t>
            </w:r>
          </w:p>
        </w:tc>
        <w:tc>
          <w:tcPr/>
          <w:p>
            <w:pPr>
              <w:pStyle w:val="Compact"/>
            </w:pPr>
            <w:r>
              <w:t xml:space="preserve">Ücretsiz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2026-10-05T04:58:27Z</dcterms:created>
  <dcterms:modified xsi:type="dcterms:W3CDTF">2026-10-05T04:58:27Z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