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Guía del Inversionista — KNNS TradeAgent v21.0</w:t>
      </w:r>
    </w:p>
    <w:p>
      <w:pPr>
        <w:pStyle w:val="Heading1"/>
      </w:pPr>
      <w:r>
        <w:t>Flujo de uso recomendado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Módulo / Pestaña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Qué hacer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Selector</w:t>
            </w:r>
          </w:p>
        </w:tc>
        <w:tc>
          <w:tcPr>
            <w:tcW w:type="dxa" w:w="2880"/>
          </w:tcPr>
          <w:p>
            <w:r>
              <w:t>Elegir Swing Trading o Position Trading según el horizonte temporal.</w:t>
            </w:r>
          </w:p>
        </w:tc>
      </w:tr>
      <w:tr>
        <w:tc>
          <w:tcPr>
            <w:tcW w:type="dxa" w:w="2880"/>
          </w:tcPr>
          <w:p>
            <w:r>
              <w:t>2 (Swing)</w:t>
            </w:r>
          </w:p>
        </w:tc>
        <w:tc>
          <w:tcPr>
            <w:tcW w:type="dxa" w:w="2880"/>
          </w:tcPr>
          <w:p>
            <w:r>
              <w:t>Screener Swing</w:t>
            </w:r>
          </w:p>
        </w:tc>
        <w:tc>
          <w:tcPr>
            <w:tcW w:type="dxa" w:w="2880"/>
          </w:tcPr>
          <w:p>
            <w:r>
              <w:t>Revisar candidatas del día. Filtrar por sector. Agregar a watchlist.</w:t>
            </w:r>
          </w:p>
        </w:tc>
      </w:tr>
      <w:tr>
        <w:tc>
          <w:tcPr>
            <w:tcW w:type="dxa" w:w="2880"/>
          </w:tcPr>
          <w:p>
            <w:r>
              <w:t>3 (Swing)</w:t>
            </w:r>
          </w:p>
        </w:tc>
        <w:tc>
          <w:tcPr>
            <w:tcW w:type="dxa" w:w="2880"/>
          </w:tcPr>
          <w:p>
            <w:r>
              <w:t>Watchlist Swing</w:t>
            </w:r>
          </w:p>
        </w:tc>
        <w:tc>
          <w:tcPr>
            <w:tcW w:type="dxa" w:w="2880"/>
          </w:tcPr>
          <w:p>
            <w:r>
              <w:t>Analizar cada acción. Revisar señal, estrellas de contexto, score y alertas. Verificar badge entryZone.</w:t>
            </w:r>
          </w:p>
        </w:tc>
      </w:tr>
      <w:tr>
        <w:tc>
          <w:tcPr>
            <w:tcW w:type="dxa" w:w="2880"/>
          </w:tcPr>
          <w:p>
            <w:r>
              <w:t>4 (Swing)</w:t>
            </w:r>
          </w:p>
        </w:tc>
        <w:tc>
          <w:tcPr>
            <w:tcW w:type="dxa" w:w="2880"/>
          </w:tcPr>
          <w:p>
            <w:r>
              <w:t>En Seguimiento</w:t>
            </w:r>
          </w:p>
        </w:tc>
        <w:tc>
          <w:tcPr>
            <w:tcW w:type="dxa" w:w="2880"/>
          </w:tcPr>
          <w:p>
            <w:r>
              <w:t>Acciones con Método B (wait_pullback) o MONITOREAR. Re-analizar tras el evento.</w:t>
            </w:r>
          </w:p>
        </w:tc>
      </w:tr>
      <w:tr>
        <w:tc>
          <w:tcPr>
            <w:tcW w:type="dxa" w:w="2880"/>
          </w:tcPr>
          <w:p>
            <w:r>
              <w:t>5 (Swing)</w:t>
            </w:r>
          </w:p>
        </w:tc>
        <w:tc>
          <w:tcPr>
            <w:tcW w:type="dxa" w:w="2880"/>
          </w:tcPr>
          <w:p>
            <w:r>
              <w:t>Journal Swing</w:t>
            </w:r>
          </w:p>
        </w:tc>
        <w:tc>
          <w:tcPr>
            <w:tcW w:type="dxa" w:w="2880"/>
          </w:tcPr>
          <w:p>
            <w:r>
              <w:t>Registrar entrada real, N° acciones, SL real y TP real del broker.</w:t>
            </w:r>
          </w:p>
        </w:tc>
      </w:tr>
      <w:tr>
        <w:tc>
          <w:tcPr>
            <w:tcW w:type="dxa" w:w="2880"/>
          </w:tcPr>
          <w:p>
            <w:r>
              <w:t>1 (Position)</w:t>
            </w:r>
          </w:p>
        </w:tc>
        <w:tc>
          <w:tcPr>
            <w:tcW w:type="dxa" w:w="2880"/>
          </w:tcPr>
          <w:p>
            <w:r>
              <w:t>Screener Position</w:t>
            </w:r>
          </w:p>
        </w:tc>
        <w:tc>
          <w:tcPr>
            <w:tcW w:type="dxa" w:w="2880"/>
          </w:tcPr>
          <w:p>
            <w:r>
              <w:t>Revisar candidatas de la semana (actualizado lunes). Filtrar por sector, agregar a watchlist.</w:t>
            </w:r>
          </w:p>
        </w:tc>
      </w:tr>
      <w:tr>
        <w:tc>
          <w:tcPr>
            <w:tcW w:type="dxa" w:w="2880"/>
          </w:tcPr>
          <w:p>
            <w:r>
              <w:t>2 (Position)</w:t>
            </w:r>
          </w:p>
        </w:tc>
        <w:tc>
          <w:tcPr>
            <w:tcW w:type="dxa" w:w="2880"/>
          </w:tcPr>
          <w:p>
            <w:r>
              <w:t>Watchlist Position</w:t>
            </w:r>
          </w:p>
        </w:tc>
        <w:tc>
          <w:tcPr>
            <w:tcW w:type="dxa" w:w="2880"/>
          </w:tcPr>
          <w:p>
            <w:r>
              <w:t>Analizar cada candidata. Revisar score/51, decisión, vetos, sizing calculator.</w:t>
            </w:r>
          </w:p>
        </w:tc>
      </w:tr>
      <w:tr>
        <w:tc>
          <w:tcPr>
            <w:tcW w:type="dxa" w:w="2880"/>
          </w:tcPr>
          <w:p>
            <w:r>
              <w:t>3 (Position)</w:t>
            </w:r>
          </w:p>
        </w:tc>
        <w:tc>
          <w:tcPr>
            <w:tcW w:type="dxa" w:w="2880"/>
          </w:tcPr>
          <w:p>
            <w:r>
              <w:t>Mercado (Sector Rotation)</w:t>
            </w:r>
          </w:p>
        </w:tc>
        <w:tc>
          <w:tcPr>
            <w:tcW w:type="dxa" w:w="2880"/>
          </w:tcPr>
          <w:p>
            <w:r>
              <w:t>Revisar qué sectores lideran vs SPY. Priorizar candidatas en sectores fuertes.</w:t>
            </w:r>
          </w:p>
        </w:tc>
      </w:tr>
      <w:tr>
        <w:tc>
          <w:tcPr>
            <w:tcW w:type="dxa" w:w="2880"/>
          </w:tcPr>
          <w:p>
            <w:r>
              <w:t>4 (Position)</w:t>
            </w:r>
          </w:p>
        </w:tc>
        <w:tc>
          <w:tcPr>
            <w:tcW w:type="dxa" w:w="2880"/>
          </w:tcPr>
          <w:p>
            <w:r>
              <w:t>Journal Position</w:t>
            </w:r>
          </w:p>
        </w:tc>
        <w:tc>
          <w:tcPr>
            <w:tcW w:type="dxa" w:w="2880"/>
          </w:tcPr>
          <w:p>
            <w:r>
              <w:t>Registrar tesis, entrada, stop, target, acciones.</w:t>
            </w:r>
          </w:p>
        </w:tc>
      </w:tr>
    </w:tbl>
    <w:p>
      <w:pPr>
        <w:pStyle w:val="Heading1"/>
      </w:pPr>
      <w:r>
        <w:t>MÓDULO SWING TRADING</w:t>
      </w:r>
    </w:p>
    <w:p>
      <w:pPr>
        <w:pStyle w:val="Heading2"/>
      </w:pPr>
      <w:r>
        <w:t>1. Pestaña Screener</w:t>
      </w:r>
    </w:p>
    <w:p>
      <w:r>
        <w:t>Lista de acciones candidatas que cumplen criterios de swing trading. Se actualiza automáticamente a las 9:30am ET (lunes a viernes) vía GitHub Actions. Solo muestra acciones individuales — ETFs excluidos desde el origen.</w:t>
        <w:br/>
        <w:br/>
        <w:t>Badge verde "FINVIZ LIVE": candidatas reales de Finviz.</w:t>
        <w:br/>
        <w:t>Badge amarillo "LISTA CURADA": fallback cuando Finviz no está disponible.</w:t>
        <w:br/>
        <w:t>Botón ↻ Actualizar screener: dispara el screener manualmente (~60 segundos).</w:t>
        <w:br/>
        <w:t>Filtro por sector. Botones "Agregar todos" / "Quitar todos".</w:t>
      </w:r>
    </w:p>
    <w:p>
      <w:pPr>
        <w:pStyle w:val="Heading2"/>
      </w:pPr>
      <w:r>
        <w:t>2. Pestaña Watchlist — Cómo leer el análisis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Señal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Contexto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Qué significa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COMPRAR</w:t>
            </w:r>
          </w:p>
        </w:tc>
        <w:tc>
          <w:tcPr>
            <w:tcW w:type="dxa" w:w="2880"/>
          </w:tcPr>
          <w:p>
            <w:r>
              <w:t>★★★ (Alta)</w:t>
            </w:r>
          </w:p>
        </w:tc>
        <w:tc>
          <w:tcPr>
            <w:tcW w:type="dxa" w:w="2880"/>
          </w:tcPr>
          <w:p>
            <w:r>
              <w:t>Técnico sólido y contexto de entrada muy favorable. Setup de máxima calidad.</w:t>
            </w:r>
          </w:p>
        </w:tc>
      </w:tr>
      <w:tr>
        <w:tc>
          <w:tcPr>
            <w:tcW w:type="dxa" w:w="2880"/>
          </w:tcPr>
          <w:p>
            <w:r>
              <w:t>COMPRAR</w:t>
            </w:r>
          </w:p>
        </w:tc>
        <w:tc>
          <w:tcPr>
            <w:tcW w:type="dxa" w:w="2880"/>
          </w:tcPr>
          <w:p>
            <w:r>
              <w:t>★★☆ (Media)</w:t>
            </w:r>
          </w:p>
        </w:tc>
        <w:tc>
          <w:tcPr>
            <w:tcW w:type="dxa" w:w="2880"/>
          </w:tcPr>
          <w:p>
            <w:r>
              <w:t>Setup sólido con algún factor de contexto moderado. Posición más pequeña.</w:t>
            </w:r>
          </w:p>
        </w:tc>
      </w:tr>
      <w:tr>
        <w:tc>
          <w:tcPr>
            <w:tcW w:type="dxa" w:w="2880"/>
          </w:tcPr>
          <w:p>
            <w:r>
              <w:t>COMPRAR</w:t>
            </w:r>
          </w:p>
        </w:tc>
        <w:tc>
          <w:tcPr>
            <w:tcW w:type="dxa" w:w="2880"/>
          </w:tcPr>
          <w:p>
            <w:r>
              <w:t>★☆☆ (Baja)</w:t>
            </w:r>
          </w:p>
        </w:tc>
        <w:tc>
          <w:tcPr>
            <w:tcW w:type="dxa" w:w="2880"/>
          </w:tcPr>
          <w:p>
            <w:r>
              <w:t>Setup técnico presente pero contexto con limitaciones. Riesgo elevado.</w:t>
            </w:r>
          </w:p>
        </w:tc>
      </w:tr>
      <w:tr>
        <w:tc>
          <w:tcPr>
            <w:tcW w:type="dxa" w:w="2880"/>
          </w:tcPr>
          <w:p>
            <w:r>
              <w:t>MONITOREAR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Condiciones técnicas buenas pero hay evento temporal (earnings ≤7d, RSI ≥72, contexto desfavorable).</w:t>
            </w:r>
          </w:p>
        </w:tc>
      </w:tr>
      <w:tr>
        <w:tc>
          <w:tcPr>
            <w:tcW w:type="dxa" w:w="2880"/>
          </w:tcPr>
          <w:p>
            <w:r>
              <w:t>ESPERAR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Score 30–44. Sin señal clara.</w:t>
            </w:r>
          </w:p>
        </w:tc>
      </w:tr>
      <w:tr>
        <w:tc>
          <w:tcPr>
            <w:tcW w:type="dxa" w:w="2880"/>
          </w:tcPr>
          <w:p>
            <w:r>
              <w:t>EVITAR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Score &lt;30. No operar.</w:t>
            </w:r>
          </w:p>
        </w:tc>
      </w:tr>
    </w:tbl>
    <w:p>
      <w:pPr>
        <w:pStyle w:val="Heading2"/>
      </w:pPr>
      <w:r>
        <w:t>Badge entryZone — Método A / Método 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Acción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VERDE — Precio en zona de entrada</w:t>
            </w:r>
          </w:p>
        </w:tc>
        <w:tc>
          <w:tcPr>
            <w:tcW w:type="dxa" w:w="2880"/>
          </w:tcPr>
          <w:p>
            <w:r>
              <w:t>in_zone</w:t>
            </w:r>
          </w:p>
        </w:tc>
        <w:tc>
          <w:tcPr>
            <w:tcW w:type="dxa" w:w="2880"/>
          </w:tcPr>
          <w:p>
            <w:r>
              <w:t>Método A: entrar con orden de mercado dentro del rango entryLow–entryHigh.</w:t>
            </w:r>
          </w:p>
        </w:tc>
      </w:tr>
      <w:tr>
        <w:tc>
          <w:tcPr>
            <w:tcW w:type="dxa" w:w="2880"/>
          </w:tcPr>
          <w:p>
            <w:r>
              <w:t>ÁMBAR — Espera pullback</w:t>
            </w:r>
          </w:p>
        </w:tc>
        <w:tc>
          <w:tcPr>
            <w:tcW w:type="dxa" w:w="2880"/>
          </w:tcPr>
          <w:p>
            <w:r>
              <w:t>wait_pullback</w:t>
            </w:r>
          </w:p>
        </w:tc>
        <w:tc>
          <w:tcPr>
            <w:tcW w:type="dxa" w:w="2880"/>
          </w:tcPr>
          <w:p>
            <w:r>
              <w:t>Método B: poner orden límite en entryLow–entryHigh y mover a En Seguimiento.</w:t>
            </w:r>
          </w:p>
        </w:tc>
      </w:tr>
      <w:tr>
        <w:tc>
          <w:tcPr>
            <w:tcW w:type="dxa" w:w="2880"/>
          </w:tcPr>
          <w:p>
            <w:r>
              <w:t>ROJO — Precio fuera de zona</w:t>
            </w:r>
          </w:p>
        </w:tc>
        <w:tc>
          <w:tcPr>
            <w:tcW w:type="dxa" w:w="2880"/>
          </w:tcPr>
          <w:p>
            <w:r>
              <w:t>below_zone</w:t>
            </w:r>
          </w:p>
        </w:tc>
        <w:tc>
          <w:tcPr>
            <w:tcW w:type="dxa" w:w="2880"/>
          </w:tcPr>
          <w:p>
            <w:r>
              <w:t>Setup invalidado — no entrar.</w:t>
            </w:r>
          </w:p>
        </w:tc>
      </w:tr>
    </w:tbl>
    <w:p>
      <w:pPr>
        <w:pStyle w:val="Heading2"/>
      </w:pPr>
      <w:r>
        <w:t>Indicadores de historial en tarjeta</w:t>
      </w:r>
    </w:p>
    <w:p>
      <w:r>
        <w:t>Badge verde "TRADE ACTIVO · Entrada $XX.XX · +X.X%": aparece cuando hay una operación abierta en el journal para esa acción. Muestra el precio de entrada real y el P&amp;L en vivo vs precio actual.</w:t>
        <w:br/>
        <w:br/>
        <w:t>Badge gris "Último trade cerrado · fecha · hace Xd": aparece cuando el último trade está cerrado. Útil para evitar re-entrar demasiado pronto.</w:t>
        <w:br/>
        <w:br/>
        <w:t>Estos badges se excluyen mutuamente. El botón "Guardar en journal" queda deshabilitado con trade activo.</w:t>
      </w:r>
    </w:p>
    <w:p>
      <w:pPr>
        <w:pStyle w:val="Heading2"/>
      </w:pPr>
      <w:r>
        <w:t>Banner Ex-Dividend (swing)</w:t>
      </w:r>
    </w:p>
    <w:p>
      <w:r>
        <w:t>Aparece solo si la fecha ex-dividend cae dentro del plazo máximo del trade (max_days).</w:t>
        <w:br/>
        <w:t>Banner ROJO (≤5 días): evitar abrir posición. Banner ÁMBAR (6d hasta el plazo): advertencia moderada.</w:t>
        <w:br/>
        <w:t>Sin banner si el ex-dividend es posterior al plazo del trade — no es relevante.</w:t>
      </w:r>
    </w:p>
    <w:p>
      <w:pPr>
        <w:pStyle w:val="Heading2"/>
      </w:pPr>
      <w:r>
        <w:t>3. Pestaña En Seguimiento</w:t>
      </w:r>
    </w:p>
    <w:p>
      <w:r>
        <w:t>Acciones con buenas condiciones técnicas esperando el momento de entrada. El usuario decide explícitamente mover una acción aquí usando el botón "En Seguimiento".</w:t>
        <w:br/>
        <w:br/>
        <w:t>Casos de uso: (a) señal MONITOREAR (earnings, RSI alto, contexto desfavorable), o (b) señal COMPRAR con entryZone = wait_pullback (Método B).</w:t>
        <w:br/>
        <w:br/>
        <w:t>El contador en la pestaña refleja las acciones realmente visibles.</w:t>
      </w:r>
    </w:p>
    <w:p>
      <w:pPr>
        <w:pStyle w:val="Heading2"/>
      </w:pPr>
      <w:r>
        <w:t>4. Pestaña Journal Swing</w:t>
      </w:r>
    </w:p>
    <w:p>
      <w:r>
        <w:t>Filtros: Todas, Abiertas, Breakeven, Parciales, Cerradas. Búsqueda por ticker.</w:t>
        <w:br/>
        <w:br/>
        <w:t>Sección "Análisis de la app" (referencia): valores teóricos al momento de guardar.</w:t>
        <w:br/>
        <w:t>Sección "Mi operación real" (editable): precio de entrada, N° acciones, SL real, TP real, precio cierre, estado, notas.</w:t>
        <w:br/>
        <w:br/>
        <w:t>P&amp;L: (precio cierre − precio entrada) × N° acciones.</w:t>
        <w:br/>
        <w:t>Resumen de cerradas al filtrar por "Cerradas": total invertido, P&amp;L USD y P&amp;L % total.</w:t>
        <w:br/>
        <w:t>exit_date se asigna al cerrar por primera vez — no se sobrescribe al editar posteriormente.</w:t>
      </w:r>
    </w:p>
    <w:p>
      <w:pPr>
        <w:pStyle w:val="Heading2"/>
      </w:pPr>
      <w:r>
        <w:t>5. Estrategia Set and Forget — parámetros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Parámetro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Zona BUY</w:t>
            </w:r>
          </w:p>
        </w:tc>
        <w:tc>
          <w:tcPr>
            <w:tcW w:type="dxa" w:w="2880"/>
          </w:tcPr>
          <w:p>
            <w:r>
              <w:t>entryLow–entryHigh</w:t>
            </w:r>
          </w:p>
        </w:tc>
        <w:tc>
          <w:tcPr>
            <w:tcW w:type="dxa" w:w="2880"/>
          </w:tcPr>
          <w:p>
            <w:r>
              <w:t>SMA21 × 0.995 a SMA21 × 1.010</w:t>
            </w:r>
          </w:p>
        </w:tc>
      </w:tr>
      <w:tr>
        <w:tc>
          <w:tcPr>
            <w:tcW w:type="dxa" w:w="2880"/>
          </w:tcPr>
          <w:p>
            <w:r>
              <w:t>Stop-loss</w:t>
            </w:r>
          </w:p>
        </w:tc>
        <w:tc>
          <w:tcPr>
            <w:tcW w:type="dxa" w:w="2880"/>
          </w:tcPr>
          <w:p>
            <w:r>
              <w:t>Mínimo 20 días × 0.995</w:t>
            </w:r>
          </w:p>
        </w:tc>
        <w:tc>
          <w:tcPr>
            <w:tcW w:type="dxa" w:w="2880"/>
          </w:tcPr>
          <w:p>
            <w:r>
              <w:t>Anclado al soporte real. No se mueve.</w:t>
            </w:r>
          </w:p>
        </w:tc>
      </w:tr>
      <w:tr>
        <w:tc>
          <w:tcPr>
            <w:tcW w:type="dxa" w:w="2880"/>
          </w:tcPr>
          <w:p>
            <w:r>
              <w:t>Objetivo</w:t>
            </w:r>
          </w:p>
        </w:tc>
        <w:tc>
          <w:tcPr>
            <w:tcW w:type="dxa" w:w="2880"/>
          </w:tcPr>
          <w:p>
            <w:r>
              <w:t>R:B mínimo 2.5x</w:t>
            </w:r>
          </w:p>
        </w:tc>
        <w:tc>
          <w:tcPr>
            <w:tcW w:type="dxa" w:w="2880"/>
          </w:tcPr>
          <w:p>
            <w:r>
              <w:t>target = max(máx 20d, entry_mid + riesgo × 2.5)</w:t>
            </w:r>
          </w:p>
        </w:tc>
      </w:tr>
      <w:tr>
        <w:tc>
          <w:tcPr>
            <w:tcW w:type="dxa" w:w="2880"/>
          </w:tcPr>
          <w:p>
            <w:r>
              <w:t>Plazo</w:t>
            </w:r>
          </w:p>
        </w:tc>
        <w:tc>
          <w:tcPr>
            <w:tcW w:type="dxa" w:w="2880"/>
          </w:tcPr>
          <w:p>
            <w:r>
              <w:t>10–30 días (ATR)</w:t>
            </w:r>
          </w:p>
        </w:tc>
        <w:tc>
          <w:tcPr>
            <w:tcW w:type="dxa" w:w="2880"/>
          </w:tcPr>
          <w:p>
            <w:r>
              <w:t>Calculado con volatilidad real de la acción.</w:t>
            </w:r>
          </w:p>
        </w:tc>
      </w:tr>
      <w:tr>
        <w:tc>
          <w:tcPr>
            <w:tcW w:type="dxa" w:w="2880"/>
          </w:tcPr>
          <w:p>
            <w:r>
              <w:t>Orden broker</w:t>
            </w:r>
          </w:p>
        </w:tc>
        <w:tc>
          <w:tcPr>
            <w:tcW w:type="dxa" w:w="2880"/>
          </w:tcPr>
          <w:p>
            <w:r>
              <w:t>OCO</w:t>
            </w:r>
          </w:p>
        </w:tc>
        <w:tc>
          <w:tcPr>
            <w:tcW w:type="dxa" w:w="2880"/>
          </w:tcPr>
          <w:p>
            <w:r>
              <w:t>Stop y objetivo simultáneos. Cero intervención manual.</w:t>
            </w:r>
          </w:p>
        </w:tc>
      </w:tr>
    </w:tbl>
    <w:p>
      <w:pPr>
        <w:pStyle w:val="Heading2"/>
      </w:pPr>
      <w:r>
        <w:t>6. Barra de vigencia del setup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Porcentaje del plazo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Acción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Verde</w:t>
            </w:r>
          </w:p>
        </w:tc>
        <w:tc>
          <w:tcPr>
            <w:tcW w:type="dxa" w:w="2880"/>
          </w:tcPr>
          <w:p>
            <w:r>
              <w:t>0–30%</w:t>
            </w:r>
          </w:p>
        </w:tc>
        <w:tc>
          <w:tcPr>
            <w:tcW w:type="dxa" w:w="2880"/>
          </w:tcPr>
          <w:p>
            <w:r>
              <w:t>Setup activo. El broker cerrará automáticamente.</w:t>
            </w:r>
          </w:p>
        </w:tc>
      </w:tr>
      <w:tr>
        <w:tc>
          <w:tcPr>
            <w:tcW w:type="dxa" w:w="2880"/>
          </w:tcPr>
          <w:p>
            <w:r>
              <w:t>Amarillo</w:t>
            </w:r>
          </w:p>
        </w:tc>
        <w:tc>
          <w:tcPr>
            <w:tcW w:type="dxa" w:w="2880"/>
          </w:tcPr>
          <w:p>
            <w:r>
              <w:t>30–70%</w:t>
            </w:r>
          </w:p>
        </w:tc>
        <w:tc>
          <w:tcPr>
            <w:tcW w:type="dxa" w:w="2880"/>
          </w:tcPr>
          <w:p>
            <w:r>
              <w:t>Debilitándose. Si hay ganancia y no avanza, considerar cerrar.</w:t>
            </w:r>
          </w:p>
        </w:tc>
      </w:tr>
      <w:tr>
        <w:tc>
          <w:tcPr>
            <w:tcW w:type="dxa" w:w="2880"/>
          </w:tcPr>
          <w:p>
            <w:r>
              <w:t>Rojo</w:t>
            </w:r>
          </w:p>
        </w:tc>
        <w:tc>
          <w:tcPr>
            <w:tcW w:type="dxa" w:w="2880"/>
          </w:tcPr>
          <w:p>
            <w:r>
              <w:t>70–100%</w:t>
            </w:r>
          </w:p>
        </w:tc>
        <w:tc>
          <w:tcPr>
            <w:tcW w:type="dxa" w:w="2880"/>
          </w:tcPr>
          <w:p>
            <w:r>
              <w:t>Alta probabilidad de invalidación. Evaluar cierre.</w:t>
            </w:r>
          </w:p>
        </w:tc>
      </w:tr>
      <w:tr>
        <w:tc>
          <w:tcPr>
            <w:tcW w:type="dxa" w:w="2880"/>
          </w:tcPr>
          <w:p>
            <w:r>
              <w:t>Rojo</w:t>
            </w:r>
          </w:p>
        </w:tc>
        <w:tc>
          <w:tcPr>
            <w:tcW w:type="dxa" w:w="2880"/>
          </w:tcPr>
          <w:p>
            <w:r>
              <w:t>Plazo vencido</w:t>
            </w:r>
          </w:p>
        </w:tc>
        <w:tc>
          <w:tcPr>
            <w:tcW w:type="dxa" w:w="2880"/>
          </w:tcPr>
          <w:p>
            <w:r>
              <w:t>Cerrar siempre, independiente del P&amp;L.</w:t>
            </w:r>
          </w:p>
        </w:tc>
      </w:tr>
    </w:tbl>
    <w:p>
      <w:pPr>
        <w:pStyle w:val="Heading1"/>
      </w:pPr>
      <w:r>
        <w:t>MÓDULO POSITION TRADING</w:t>
      </w:r>
    </w:p>
    <w:p>
      <w:pPr>
        <w:pStyle w:val="Heading2"/>
      </w:pPr>
      <w:r>
        <w:t>1. Screener Position</w:t>
      </w:r>
    </w:p>
    <w:p>
      <w:r>
        <w:t>Se actualiza automáticamente los lunes a las 14:00 UTC (10:00 AM ET) via GitHub Actions.</w:t>
        <w:br/>
        <w:br/>
        <w:t>Criterios Finviz: Precio &gt; SMA200, SMA50 &gt; SMA200 (golden cross), RSI 40–65, Vol &gt; 500k, Cap &gt; $300M, NYSE + NASDAQ.</w:t>
        <w:br/>
        <w:br/>
        <w:t>Cada candidata aparece enriquecida con: empresa, sector, crecimiento de revenue/EPS, market cap, y badge "Base Nsem" (verde=sound ≥7 semanas, ámbar=short 3–6 semanas).</w:t>
      </w:r>
    </w:p>
    <w:p>
      <w:pPr>
        <w:pStyle w:val="Heading2"/>
      </w:pPr>
      <w:r>
        <w:t>2. Pestaña Watchlist Position — Cómo leer el scorecard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Score / 51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Decisión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Acción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≥ 32</w:t>
            </w:r>
          </w:p>
        </w:tc>
        <w:tc>
          <w:tcPr>
            <w:tcW w:type="dxa" w:w="2880"/>
          </w:tcPr>
          <w:p>
            <w:r>
              <w:t>OPERAR CON CONVICCIÓN</w:t>
            </w:r>
          </w:p>
        </w:tc>
        <w:tc>
          <w:tcPr>
            <w:tcW w:type="dxa" w:w="2880"/>
          </w:tcPr>
          <w:p>
            <w:r>
              <w:t>Tamaño completo según sizing calculator.</w:t>
            </w:r>
          </w:p>
        </w:tc>
      </w:tr>
      <w:tr>
        <w:tc>
          <w:tcPr>
            <w:tcW w:type="dxa" w:w="2880"/>
          </w:tcPr>
          <w:p>
            <w:r>
              <w:t>22–31</w:t>
            </w:r>
          </w:p>
        </w:tc>
        <w:tc>
          <w:tcPr>
            <w:tcW w:type="dxa" w:w="2880"/>
          </w:tcPr>
          <w:p>
            <w:r>
              <w:t>OPERAR CON CAUTELA</w:t>
            </w:r>
          </w:p>
        </w:tc>
        <w:tc>
          <w:tcPr>
            <w:tcW w:type="dxa" w:w="2880"/>
          </w:tcPr>
          <w:p>
            <w:r>
              <w:t>Reducir posición 30–50%.</w:t>
            </w:r>
          </w:p>
        </w:tc>
      </w:tr>
      <w:tr>
        <w:tc>
          <w:tcPr>
            <w:tcW w:type="dxa" w:w="2880"/>
          </w:tcPr>
          <w:p>
            <w:r>
              <w:t>&lt; 22</w:t>
            </w:r>
          </w:p>
        </w:tc>
        <w:tc>
          <w:tcPr>
            <w:tcW w:type="dxa" w:w="2880"/>
          </w:tcPr>
          <w:p>
            <w:r>
              <w:t>NO OPERAR</w:t>
            </w:r>
          </w:p>
        </w:tc>
        <w:tc>
          <w:tcPr>
            <w:tcW w:type="dxa" w:w="2880"/>
          </w:tcPr>
          <w:p>
            <w:r>
              <w:t>No entrar aunque el gráfico se vea bien.</w:t>
            </w:r>
          </w:p>
        </w:tc>
      </w:tr>
      <w:tr>
        <w:tc>
          <w:tcPr>
            <w:tcW w:type="dxa" w:w="2880"/>
          </w:tcPr>
          <w:p>
            <w:r>
              <w:t>Veto activo</w:t>
            </w:r>
          </w:p>
        </w:tc>
        <w:tc>
          <w:tcPr>
            <w:tcW w:type="dxa" w:w="2880"/>
          </w:tcPr>
          <w:p>
            <w:r>
              <w:t>NO OPERAR (VETO)</w:t>
            </w:r>
          </w:p>
        </w:tc>
        <w:tc>
          <w:tcPr>
            <w:tcW w:type="dxa" w:w="2880"/>
          </w:tcPr>
          <w:p>
            <w:r>
              <w:t>Precio &lt; SMA200 o R/R &lt; 2. Independiente del score.</w:t>
            </w:r>
          </w:p>
        </w:tc>
      </w:tr>
    </w:tbl>
    <w:p>
      <w:r>
        <w:t>Ajuste macro: si SPY está bajo SMA200 (mercado bajista), el score se penaliza -4 puntos (regla Weinstein).</w:t>
      </w:r>
    </w:p>
    <w:p>
      <w:pPr>
        <w:pStyle w:val="Heading2"/>
      </w:pPr>
      <w:r>
        <w:t>Badges y warnings en tarjeta position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Badge / Warning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Caché viejo</w:t>
            </w:r>
          </w:p>
        </w:tc>
        <w:tc>
          <w:tcPr>
            <w:tcW w:type="dxa" w:w="4320"/>
          </w:tcPr>
          <w:p>
            <w:r>
              <w:t>&gt;24h → badge naranja, &gt;48h → rojo. Indica que los datos pueden estar desactualizados.</w:t>
            </w:r>
          </w:p>
        </w:tc>
      </w:tr>
      <w:tr>
        <w:tc>
          <w:tcPr>
            <w:tcW w:type="dxa" w:w="4320"/>
          </w:tcPr>
          <w:p>
            <w:r>
              <w:t>Earnings warning</w:t>
            </w:r>
          </w:p>
        </w:tc>
        <w:tc>
          <w:tcPr>
            <w:tcW w:type="dxa" w:w="4320"/>
          </w:tcPr>
          <w:p>
            <w:r>
              <w:t>&lt;7d → banner rojo (evitar entrada). 7–14d → naranja. Tabla: badge "E{días}d".</w:t>
            </w:r>
          </w:p>
        </w:tc>
      </w:tr>
      <w:tr>
        <w:tc>
          <w:tcPr>
            <w:tcW w:type="dxa" w:w="4320"/>
          </w:tcPr>
          <w:p>
            <w:r>
              <w:t>Ex-dividend warning</w:t>
            </w:r>
          </w:p>
        </w:tc>
        <w:tc>
          <w:tcPr>
            <w:tcW w:type="dxa" w:w="4320"/>
          </w:tcPr>
          <w:p>
            <w:r>
              <w:t>&lt;7d → rojo, 7–14d → naranja. Solo si dividendYield &gt; 0.3%.</w:t>
            </w:r>
          </w:p>
        </w:tc>
      </w:tr>
      <w:tr>
        <w:tc>
          <w:tcPr>
            <w:tcW w:type="dxa" w:w="4320"/>
          </w:tcPr>
          <w:p>
            <w:r>
              <w:t>RS SPY</w:t>
            </w:r>
          </w:p>
        </w:tc>
        <w:tc>
          <w:tcPr>
            <w:tcW w:type="dxa" w:w="4320"/>
          </w:tcPr>
          <w:p>
            <w:r>
              <w:t>Valor real sin cap (ej: +43% vs SPY). Antes mostraba máximo ±5.</w:t>
            </w:r>
          </w:p>
        </w:tc>
      </w:tr>
      <w:tr>
        <w:tc>
          <w:tcPr>
            <w:tcW w:type="dxa" w:w="4320"/>
          </w:tcPr>
          <w:p>
            <w:r>
              <w:t>Confidence score</w:t>
            </w:r>
          </w:p>
        </w:tc>
        <w:tc>
          <w:tcPr>
            <w:tcW w:type="dxa" w:w="4320"/>
          </w:tcPr>
          <w:p>
            <w:r>
              <w:t>Alta (≥6/7 criterios con datos reales), Media (4/7), Baja (&lt;4/7).</w:t>
            </w:r>
          </w:p>
        </w:tc>
      </w:tr>
      <w:tr>
        <w:tc>
          <w:tcPr>
            <w:tcW w:type="dxa" w:w="4320"/>
          </w:tcPr>
          <w:p>
            <w:r>
              <w:t>Stage badge</w:t>
            </w:r>
          </w:p>
        </w:tc>
        <w:tc>
          <w:tcPr>
            <w:tcW w:type="dxa" w:w="4320"/>
          </w:tcPr>
          <w:p>
            <w:r>
              <w:t>Stage 1/2/3/4 de Weinstein. Warning prominente si Stage 4.</w:t>
            </w:r>
          </w:p>
        </w:tc>
      </w:tr>
      <w:tr>
        <w:tc>
          <w:tcPr>
            <w:tcW w:type="dxa" w:w="4320"/>
          </w:tcPr>
          <w:p>
            <w:r>
              <w:t>Mercado bajista</w:t>
            </w:r>
          </w:p>
        </w:tc>
        <w:tc>
          <w:tcPr>
            <w:tcW w:type="dxa" w:w="4320"/>
          </w:tcPr>
          <w:p>
            <w:r>
              <w:t>Warning si SPY &lt; SMA200. Weinstein: nunca comprar Stage 2 individual en Stage 4 del mercado.</w:t>
            </w:r>
          </w:p>
        </w:tc>
      </w:tr>
    </w:tbl>
    <w:p>
      <w:pPr>
        <w:pStyle w:val="Heading2"/>
      </w:pPr>
      <w:r>
        <w:t>Sizing calculator integrado</w:t>
      </w:r>
    </w:p>
    <w:p>
      <w:r>
        <w:t>Disponible en cada PositionCard. Inputs: capital total (USD) + % de riesgo por operación (default 1%).</w:t>
        <w:br/>
        <w:br/>
        <w:t>Calcula automáticamente:</w:t>
        <w:br/>
        <w:t>- Número de acciones = (capital × riskPct) / (entry - stop)</w:t>
        <w:br/>
        <w:t>- Monto invertido = acciones × precio de entrada</w:t>
        <w:br/>
        <w:t>- Ganancia potencial = (target - entry) × acciones</w:t>
        <w:br/>
        <w:t>- Pérdida máxima = (entry - stop) × acciones</w:t>
        <w:br/>
        <w:br/>
        <w:t>Los precios de entry/stop/target se toman de los niveles sugeridos por el análisis. Revisar y ajustar manualmente si es necesario.</w:t>
      </w:r>
    </w:p>
    <w:p>
      <w:pPr>
        <w:pStyle w:val="Heading2"/>
      </w:pPr>
      <w:r>
        <w:t>3. Tab Mercado — Sector Rotation</w:t>
      </w:r>
    </w:p>
    <w:p>
      <w:r>
        <w:t>Tabla de 11 sectores SPDR (XLK, XLV, XLE, XLF, XLI, XLU, XLP, XLB, XLY, XLC, XLRE) ordenados por RS Mansfield vs SPY descendente.</w:t>
        <w:br/>
        <w:br/>
        <w:t>Badges TOP (verde) para los 3 primeros y WEAK (rojo) para los 3 últimos.</w:t>
        <w:br/>
        <w:t>Header muestra precio y posición de SPY vs SMA200. Cache 1 hora.</w:t>
      </w:r>
    </w:p>
    <w:p>
      <w:pPr>
        <w:pStyle w:val="Heading2"/>
      </w:pPr>
      <w:r>
        <w:t>4. Journal Position</w:t>
      </w:r>
    </w:p>
    <w:p>
      <w:r>
        <w:t>Estados: planning → open → closed.</w:t>
        <w:br/>
        <w:t>Campos: ticker, empresa, sector, fecha entrada, precio entrada, stop, target, acciones, notas, scorecard.</w:t>
        <w:br/>
        <w:t>Al cerrar: precio de cierre, fecha de cierre, P&amp;L calculado automáticamente.</w:t>
      </w:r>
    </w:p>
    <w:p>
      <w:pPr>
        <w:pStyle w:val="Heading2"/>
      </w:pPr>
      <w:r>
        <w:t>5. Dashboard Position</w:t>
      </w:r>
    </w:p>
    <w:p>
      <w:r>
        <w:t>P&amp;L mensual (barras). Win rate total. Win rate separado por tipo de decisión: CONVICCIÓN vs CAUTELA. Útil para calibrar si las operaciones con cautela merecen el riesgo.</w:t>
      </w:r>
    </w:p>
    <w:p>
      <w:pPr>
        <w:pStyle w:val="Heading1"/>
      </w:pPr>
      <w:r>
        <w:t>Lo que la app hace y no hace</w:t>
      </w:r>
    </w:p>
    <w:p>
      <w:pPr>
        <w:pStyle w:val="Heading2"/>
      </w:pPr>
      <w:r>
        <w:t>Hace bien</w:t>
      </w:r>
    </w:p>
    <w:p>
      <w:pPr>
        <w:pStyle w:val="ListBullet"/>
      </w:pPr>
      <w:r>
        <w:t>Identifica acciones en Stage 2 emergente (no tardío) con fundamentos sólidos y RS positiva.</w:t>
      </w:r>
    </w:p>
    <w:p>
      <w:pPr>
        <w:pStyle w:val="ListBullet"/>
      </w:pPr>
      <w:r>
        <w:t>Distingue empresa buena de entrada técnica buena (AAPL fundamentales excelentes pero Stage 3 = NO OPERAR).</w:t>
      </w:r>
    </w:p>
    <w:p>
      <w:pPr>
        <w:pStyle w:val="ListBullet"/>
      </w:pPr>
      <w:r>
        <w:t>Calcula stop técnicamente válido (base semanal real, no % arbitrario).</w:t>
      </w:r>
    </w:p>
    <w:p>
      <w:pPr>
        <w:pStyle w:val="ListBullet"/>
      </w:pPr>
      <w:r>
        <w:t>Fuerza disciplina R/R 2.5x en cada operación.</w:t>
      </w:r>
    </w:p>
    <w:p>
      <w:pPr>
        <w:pStyle w:val="ListBullet"/>
      </w:pPr>
      <w:r>
        <w:t>Penaliza entradas en mercado bajista (Weinstein: nunca comprar Stage 2 individual en Stage 4 de mercado).</w:t>
      </w:r>
    </w:p>
    <w:p>
      <w:pPr>
        <w:pStyle w:val="Heading2"/>
      </w:pPr>
      <w:r>
        <w:t>Revisar manualmente antes de ejecutar</w:t>
      </w:r>
    </w:p>
    <w:p>
      <w:pPr>
        <w:pStyle w:val="ListBullet"/>
      </w:pPr>
      <w:r>
        <w:t>Noticias recientes del ticker (earnings, aranceles, cambios de guidance).</w:t>
      </w:r>
    </w:p>
    <w:p>
      <w:pPr>
        <w:pStyle w:val="ListBullet"/>
      </w:pPr>
      <w:r>
        <w:t>Volumen intradiario en tiempo real (15 min delay).</w:t>
      </w:r>
    </w:p>
    <w:p>
      <w:pPr>
        <w:pStyle w:val="ListBullet"/>
      </w:pPr>
      <w:r>
        <w:t>Decisión de % del portafolio total a concentrar en una posición.</w:t>
      </w:r>
    </w:p>
    <w:p>
      <w:pPr>
        <w:pStyle w:val="ListBullet"/>
      </w:pPr>
      <w:r>
        <w:t>Haiku no conoce eventos recientes — el prompt usa datos históricos de AV.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