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Swing Trading Agent — Arquitectura del Sistema v21.0</w:t>
      </w:r>
    </w:p>
    <w:p>
      <w:pPr>
        <w:pStyle w:val="Heading1"/>
      </w:pPr>
      <w:r>
        <w:t>Descripción general</w:t>
      </w:r>
    </w:p>
    <w:p>
      <w:r>
        <w:t>KNNS TradeAgent es una aplicación web full-stack con autenticación en la nube. Tiene dos módulos independientes: Swing Trading (análisis técnico corto/mediano plazo) y Position Trading (mediano/largo plazo, semanas a 12+ meses). El swing module implementa estrategia set-and-forget con señal final determinada por score técnico matemático (0–100), estrellas de contexto de entrada (0–3★) y detección automática de eventos que afectan el timing (earnings, ex-dividend, RSI extremo, precio sobre target de analistas).</w:t>
      </w:r>
    </w:p>
    <w:p>
      <w:pPr>
        <w:pStyle w:val="Heading1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 + Vercel</w:t>
            </w:r>
          </w:p>
        </w:tc>
        <w:tc>
          <w:tcPr>
            <w:tcW w:type="dxa" w:w="2880"/>
          </w:tcPr>
          <w:p>
            <w:r>
              <w:t>SPA. App.jsx (Swing), PositionModule.jsx, StockCard.jsx, Journal.jsx, Discover.jsx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Python + Railway</w:t>
            </w:r>
          </w:p>
        </w:tc>
        <w:tc>
          <w:tcPr>
            <w:tcW w:type="dxa" w:w="2880"/>
          </w:tcPr>
          <w:p>
            <w:r>
              <w:t>Análisis técnico, score matemático, estrellas de contexto, Claude AI, endpoints REST</w:t>
            </w:r>
          </w:p>
        </w:tc>
      </w:tr>
      <w:tr>
        <w:tc>
          <w:tcPr>
            <w:tcW w:type="dxa" w:w="2880"/>
          </w:tcPr>
          <w:p>
            <w:r>
              <w:t>Base de datos / Auth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watchlist, monitor_tickers, journal, position_trades, analysis_cache, position_cache. Auth email/password</w:t>
            </w:r>
          </w:p>
        </w:tc>
      </w:tr>
      <w:tr>
        <w:tc>
          <w:tcPr>
            <w:tcW w:type="dxa" w:w="2880"/>
          </w:tcPr>
          <w:p>
            <w:r>
              <w:t>Datos de mercado</w:t>
            </w:r>
          </w:p>
        </w:tc>
        <w:tc>
          <w:tcPr>
            <w:tcW w:type="dxa" w:w="2880"/>
          </w:tcPr>
          <w:p>
            <w:r>
              <w:t>Alpha Vantage (premium)</w:t>
            </w:r>
          </w:p>
        </w:tc>
        <w:tc>
          <w:tcPr>
            <w:tcW w:type="dxa" w:w="2880"/>
          </w:tcPr>
          <w:p>
            <w:r>
              <w:t>Precios históricos, GLOBAL_QUOTE (15-min delay), OVERVIEW (fundamentales + dividendos), Weekly Adjusted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Claude Haiku (claude-haiku-4-5-20251001)</w:t>
            </w:r>
          </w:p>
        </w:tc>
        <w:tc>
          <w:tcPr>
            <w:tcW w:type="dxa" w:w="2880"/>
          </w:tcPr>
          <w:p>
            <w:r>
              <w:t>Narrativa y catalizador para scorecard position trading. Los niveles y scores técnicos se calculan en Python.</w:t>
            </w:r>
          </w:p>
        </w:tc>
      </w:tr>
      <w:tr>
        <w:tc>
          <w:tcPr>
            <w:tcW w:type="dxa" w:w="2880"/>
          </w:tcPr>
          <w:p>
            <w:r>
              <w:t>Screener Swing</w:t>
            </w:r>
          </w:p>
        </w:tc>
        <w:tc>
          <w:tcPr>
            <w:tcW w:type="dxa" w:w="2880"/>
          </w:tcPr>
          <w:p>
            <w:r>
              <w:t>Finviz + GitHub Actions</w:t>
            </w:r>
          </w:p>
        </w:tc>
        <w:tc>
          <w:tcPr>
            <w:tcW w:type="dxa" w:w="2880"/>
          </w:tcPr>
          <w:p>
            <w:r>
              <w:t>Scraping diario 9:30am ET (lunes-viernes). Filtro ind_stocksonly. Guarda data/screener.json.</w:t>
            </w:r>
          </w:p>
        </w:tc>
      </w:tr>
      <w:tr>
        <w:tc>
          <w:tcPr>
            <w:tcW w:type="dxa" w:w="2880"/>
          </w:tcPr>
          <w:p>
            <w:r>
              <w:t>Screener Position</w:t>
            </w:r>
          </w:p>
        </w:tc>
        <w:tc>
          <w:tcPr>
            <w:tcW w:type="dxa" w:w="2880"/>
          </w:tcPr>
          <w:p>
            <w:r>
              <w:t>Finviz + GitHub Actions</w:t>
            </w:r>
          </w:p>
        </w:tc>
        <w:tc>
          <w:tcPr>
            <w:tcW w:type="dxa" w:w="2880"/>
          </w:tcPr>
          <w:p>
            <w:r>
              <w:t>Cron lunes 14:00 UTC. Enriquece con AV OVERVIEW + Weekly Adjusted (weeksInBase). Guarda data/screener_position.json.</w:t>
            </w:r>
          </w:p>
        </w:tc>
      </w:tr>
      <w:tr>
        <w:tc>
          <w:tcPr>
            <w:tcW w:type="dxa" w:w="2880"/>
          </w:tcPr>
          <w:p>
            <w:r>
              <w:t>Repositorio</w:t>
            </w:r>
          </w:p>
        </w:tc>
        <w:tc>
          <w:tcPr>
            <w:tcW w:type="dxa" w:w="2880"/>
          </w:tcPr>
          <w:p>
            <w:r>
              <w:t>GitHub (orlaknns/swing-agent)</w:t>
            </w:r>
          </w:p>
        </w:tc>
        <w:tc>
          <w:tcPr>
            <w:tcW w:type="dxa" w:w="2880"/>
          </w:tcPr>
          <w:p>
            <w:r>
              <w:t>Fuente de verdad. Actions para screeners automáticos.</w:t>
            </w:r>
          </w:p>
        </w:tc>
      </w:tr>
    </w:tbl>
    <w:p>
      <w:pPr>
        <w:pStyle w:val="Heading1"/>
      </w:pPr>
      <w:r>
        <w:t>Navegación — Selector de módulos</w:t>
      </w:r>
    </w:p>
    <w:p>
      <w:r>
        <w:t>App.jsx tiene const [module, setModule] = useState("selector"). Al cargar, muestra ModuleSelector. El usuario elige Swing Trading o Position Trading. Botón "← Volver" en cada módulo regresa al selector.</w:t>
      </w:r>
    </w:p>
    <w:p>
      <w:pPr>
        <w:pStyle w:val="Heading1"/>
      </w:pPr>
      <w:r>
        <w:t>Tablas Supabase</w:t>
      </w:r>
    </w:p>
    <w:p>
      <w:pPr>
        <w:pStyle w:val="Heading2"/>
      </w:pPr>
      <w:r>
        <w:t>watchlist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 / clave de upsert</w:t>
            </w:r>
          </w:p>
        </w:tc>
      </w:tr>
      <w:tr>
        <w:tc>
          <w:tcPr>
            <w:tcW w:type="dxa" w:w="2880"/>
          </w:tcPr>
          <w:p>
            <w:r>
              <w:t>tickers</w:t>
            </w:r>
          </w:p>
        </w:tc>
        <w:tc>
          <w:tcPr>
            <w:tcW w:type="dxa" w:w="2880"/>
          </w:tcPr>
          <w:p>
            <w:r>
              <w:t>text[]</w:t>
            </w:r>
          </w:p>
        </w:tc>
        <w:tc>
          <w:tcPr>
            <w:tcW w:type="dxa" w:w="2880"/>
          </w:tcPr>
          <w:p>
            <w:r>
              <w:t>Watchlist swing</w:t>
            </w:r>
          </w:p>
        </w:tc>
      </w:tr>
      <w:tr>
        <w:tc>
          <w:tcPr>
            <w:tcW w:type="dxa" w:w="2880"/>
          </w:tcPr>
          <w:p>
            <w:r>
              <w:t>monitor_tickers</w:t>
            </w:r>
          </w:p>
        </w:tc>
        <w:tc>
          <w:tcPr>
            <w:tcW w:type="dxa" w:w="2880"/>
          </w:tcPr>
          <w:p>
            <w:r>
              <w:t>text[]</w:t>
            </w:r>
          </w:p>
        </w:tc>
        <w:tc>
          <w:tcPr>
            <w:tcW w:type="dxa" w:w="2880"/>
          </w:tcPr>
          <w:p>
            <w:r>
              <w:t>Lista "En seguimiento" swing</w:t>
            </w:r>
          </w:p>
        </w:tc>
      </w:tr>
      <w:tr>
        <w:tc>
          <w:tcPr>
            <w:tcW w:type="dxa" w:w="2880"/>
          </w:tcPr>
          <w:p>
            <w:r>
              <w:t>analysis_cache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Cache análisis swing (con _savedAt)</w:t>
            </w:r>
          </w:p>
        </w:tc>
      </w:tr>
      <w:tr>
        <w:tc>
          <w:tcPr>
            <w:tcW w:type="dxa" w:w="2880"/>
          </w:tcPr>
          <w:p>
            <w:r>
              <w:t>position_watchlist</w:t>
            </w:r>
          </w:p>
        </w:tc>
        <w:tc>
          <w:tcPr>
            <w:tcW w:type="dxa" w:w="2880"/>
          </w:tcPr>
          <w:p>
            <w:r>
              <w:t>text[]</w:t>
            </w:r>
          </w:p>
        </w:tc>
        <w:tc>
          <w:tcPr>
            <w:tcW w:type="dxa" w:w="2880"/>
          </w:tcPr>
          <w:p>
            <w:r>
              <w:t>Watchlist position trading</w:t>
            </w:r>
          </w:p>
        </w:tc>
      </w:tr>
      <w:tr>
        <w:tc>
          <w:tcPr>
            <w:tcW w:type="dxa" w:w="2880"/>
          </w:tcPr>
          <w:p>
            <w:r>
              <w:t>position_cache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Cache análisis position (con _savedAt)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CRÍTICO: Siempre escribir todos los campos juntos en un solo upsert (upsertAll). Nunca hacer upserts parciales — una escritura parcial sobreescribe los demás campos con null.</w:t>
      </w:r>
    </w:p>
    <w:p>
      <w:pPr>
        <w:pStyle w:val="Heading2"/>
      </w:pPr>
      <w:r>
        <w:t>journal (swing)</w:t>
      </w:r>
    </w:p>
    <w:p>
      <w:r>
        <w:t>id, user_id, date, ticker, signal, strategy, trend, price, entry_low, entry_high, stop_loss, target, max_days, rr, rsi, sma21, sma50, sma200, mansfield_rs, next_earnings, fundamentals jsonb, analysis, status (open|breakeven|partial|closed), entry_price, position_size, exit_price, real_stop_loss, real_target, notes, exit_date, created_at</w:t>
      </w:r>
    </w:p>
    <w:p>
      <w:pPr>
        <w:pStyle w:val="Heading2"/>
      </w:pPr>
      <w:r>
        <w:t>position_trades (journal position)</w:t>
      </w:r>
    </w:p>
    <w:p>
      <w:r>
        <w:t>id, user_id, ticker, company, sector, status (planning|open|closed), entry_date, entry_price, stop_price, target_price, shares, notes, scorecard jsonb, exit_date, exit_price, pnl, created_at</w:t>
      </w:r>
    </w:p>
    <w:p>
      <w:pPr>
        <w:pStyle w:val="Heading1"/>
      </w:pPr>
      <w:r>
        <w:t>MÓDULO SWING TRADING</w:t>
      </w:r>
    </w:p>
    <w:p>
      <w:pPr>
        <w:pStyle w:val="Heading2"/>
      </w:pPr>
      <w:r>
        <w:t>Arquitectura de scoring en 3 capas</w:t>
      </w:r>
    </w:p>
    <w:p>
      <w:r>
        <w:t>El análisis se divide en tres capas independientes ejecutadas secuencialmente en Python. Claude NO decide la señal — solo genera el análisis narrativo.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calc_score()</w:t>
            </w:r>
          </w:p>
        </w:tc>
        <w:tc>
          <w:tcPr>
            <w:tcW w:type="dxa" w:w="2880"/>
          </w:tcPr>
          <w:p>
            <w:r>
              <w:t>Score técnico puro. Solo indicadores de precio y momentum. Base 50.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calc_context_stars()</w:t>
            </w:r>
          </w:p>
        </w:tc>
        <w:tc>
          <w:tcPr>
            <w:tcW w:type="dxa" w:w="2880"/>
          </w:tcPr>
          <w:p>
            <w:r>
              <w:t>Estrellas de contexto de entrada. Evalúa si es buen momento para entrar ahora.</w:t>
            </w:r>
          </w:p>
        </w:tc>
        <w:tc>
          <w:tcPr>
            <w:tcW w:type="dxa" w:w="2880"/>
          </w:tcPr>
          <w:p>
            <w:r>
              <w:t>0–3★</w:t>
            </w:r>
          </w:p>
        </w:tc>
      </w:tr>
      <w:tr>
        <w:tc>
          <w:tcPr>
            <w:tcW w:type="dxa" w:w="2880"/>
          </w:tcPr>
          <w:p>
            <w:r>
              <w:t>determine_final_signal()</w:t>
            </w:r>
          </w:p>
        </w:tc>
        <w:tc>
          <w:tcPr>
            <w:tcW w:type="dxa" w:w="2880"/>
          </w:tcPr>
          <w:p>
            <w:r>
              <w:t>Señal final combinando score + estrellas + RSI.</w:t>
            </w:r>
          </w:p>
        </w:tc>
        <w:tc>
          <w:tcPr>
            <w:tcW w:type="dxa" w:w="2880"/>
          </w:tcPr>
          <w:p>
            <w:r>
              <w:t>buy/monitor/hold/avoid</w:t>
            </w:r>
          </w:p>
        </w:tc>
      </w:tr>
    </w:tbl>
    <w:p>
      <w:pPr>
        <w:pStyle w:val="Heading2"/>
      </w:pPr>
      <w:r>
        <w:t>Score técnico — factores (calc_score)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Positivo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SMA trend (SMA21 vs SMA50)</w:t>
            </w:r>
          </w:p>
        </w:tc>
        <w:tc>
          <w:tcPr>
            <w:tcW w:type="dxa" w:w="2160"/>
          </w:tcPr>
          <w:p>
            <w:r>
              <w:t>+15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+15 si SMA21 &gt; SMA50</w:t>
            </w:r>
          </w:p>
        </w:tc>
      </w:tr>
      <w:tr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+10 (45–65) / +5 (&lt;30)</w:t>
            </w:r>
          </w:p>
        </w:tc>
        <w:tc>
          <w:tcPr>
            <w:tcW w:type="dxa" w:w="2160"/>
          </w:tcPr>
          <w:p>
            <w:r>
              <w:t>-10 (&gt;80) / -5 (&gt;75)</w:t>
            </w:r>
          </w:p>
        </w:tc>
        <w:tc>
          <w:tcPr>
            <w:tcW w:type="dxa" w:w="2160"/>
          </w:tcPr>
          <w:p>
            <w:r>
              <w:t>Zona pullback ideal: 45–65</w:t>
            </w:r>
          </w:p>
        </w:tc>
      </w:tr>
      <w:tr>
        <w:tc>
          <w:tcPr>
            <w:tcW w:type="dxa" w:w="2160"/>
          </w:tcPr>
          <w:p>
            <w:r>
              <w:t>Precio &gt; SMA21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SMA200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-6 / -3 (recuperación)</w:t>
            </w:r>
          </w:p>
        </w:tc>
        <w:tc>
          <w:tcPr>
            <w:tcW w:type="dxa" w:w="2160"/>
          </w:tcPr>
          <w:p>
            <w:r>
              <w:t>-3 si SMA21&gt;SMA50 y momentum&gt;0</w:t>
            </w:r>
          </w:p>
        </w:tc>
      </w:tr>
      <w:tr>
        <w:tc>
          <w:tcPr>
            <w:tcW w:type="dxa" w:w="2160"/>
          </w:tcPr>
          <w:p>
            <w:r>
              <w:t>Volumen vs avg</w:t>
            </w:r>
          </w:p>
        </w:tc>
        <w:tc>
          <w:tcPr>
            <w:tcW w:type="dxa" w:w="2160"/>
          </w:tcPr>
          <w:p>
            <w:r>
              <w:t>+8 (&gt;120%)</w:t>
            </w:r>
          </w:p>
        </w:tc>
        <w:tc>
          <w:tcPr>
            <w:tcW w:type="dxa" w:w="2160"/>
          </w:tcPr>
          <w:p>
            <w:r>
              <w:t>-8 (&lt;50%)</w:t>
            </w:r>
          </w:p>
        </w:tc>
        <w:tc>
          <w:tcPr>
            <w:tcW w:type="dxa" w:w="2160"/>
          </w:tcPr>
          <w:p>
            <w:r>
              <w:t>Participación institucional</w:t>
            </w:r>
          </w:p>
        </w:tc>
      </w:tr>
      <w:tr>
        <w:tc>
          <w:tcPr>
            <w:tcW w:type="dxa" w:w="2160"/>
          </w:tcPr>
          <w:p>
            <w:r>
              <w:t>Mansfield RS</w:t>
            </w:r>
          </w:p>
        </w:tc>
        <w:tc>
          <w:tcPr>
            <w:tcW w:type="dxa" w:w="2160"/>
          </w:tcPr>
          <w:p>
            <w:r>
              <w:t>+12 (&gt;2)</w:t>
            </w:r>
          </w:p>
        </w:tc>
        <w:tc>
          <w:tcPr>
            <w:tcW w:type="dxa" w:w="2160"/>
          </w:tcPr>
          <w:p>
            <w:r>
              <w:t>-12 (&lt;-2)</w:t>
            </w:r>
          </w:p>
        </w:tc>
        <w:tc>
          <w:tcPr>
            <w:tcW w:type="dxa" w:w="2160"/>
          </w:tcPr>
          <w:p>
            <w:r>
              <w:t>Fuerza relativa vs S&amp;P500</w:t>
            </w:r>
          </w:p>
        </w:tc>
      </w:tr>
      <w:tr>
        <w:tc>
          <w:tcPr>
            <w:tcW w:type="dxa" w:w="2160"/>
          </w:tcPr>
          <w:p>
            <w:r>
              <w:t>Momentum 4 semanas</w:t>
            </w:r>
          </w:p>
        </w:tc>
        <w:tc>
          <w:tcPr>
            <w:tcW w:type="dxa" w:w="2160"/>
          </w:tcPr>
          <w:p>
            <w:r>
              <w:t>+10 (&gt;10%)</w:t>
            </w:r>
          </w:p>
        </w:tc>
        <w:tc>
          <w:tcPr>
            <w:tcW w:type="dxa" w:w="2160"/>
          </w:tcPr>
          <w:p>
            <w:r>
              <w:t>-8 (&lt;-5%)</w:t>
            </w:r>
          </w:p>
        </w:tc>
        <w:tc>
          <w:tcPr>
            <w:tcW w:type="dxa" w:w="2160"/>
          </w:tcPr>
          <w:p>
            <w:r>
              <w:t>Cambio precio en 4 semanas</w:t>
            </w:r>
          </w:p>
        </w:tc>
      </w:tr>
    </w:tbl>
    <w:p>
      <w:pPr>
        <w:pStyle w:val="Heading2"/>
      </w:pPr>
      <w:r>
        <w:t>Estrellas de contexto (calc_context_stars)</w:t>
      </w:r>
    </w:p>
    <w:p>
      <w:r>
        <w:t>Empiezan en 3★. Se restan penalizaciones. Si score &lt; 45: siempre 0★.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Penalización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Earnings ≤ 5 días</w:t>
            </w:r>
          </w:p>
        </w:tc>
        <w:tc>
          <w:tcPr>
            <w:tcW w:type="dxa" w:w="4320"/>
          </w:tcPr>
          <w:p>
            <w:r>
              <w:t>-2★</w:t>
            </w:r>
          </w:p>
        </w:tc>
      </w:tr>
      <w:tr>
        <w:tc>
          <w:tcPr>
            <w:tcW w:type="dxa" w:w="4320"/>
          </w:tcPr>
          <w:p>
            <w:r>
              <w:t>Earnings 6–14 días</w:t>
            </w:r>
          </w:p>
        </w:tc>
        <w:tc>
          <w:tcPr>
            <w:tcW w:type="dxa" w:w="4320"/>
          </w:tcPr>
          <w:p>
            <w:r>
              <w:t>-1★</w:t>
            </w:r>
          </w:p>
        </w:tc>
      </w:tr>
      <w:tr>
        <w:tc>
          <w:tcPr>
            <w:tcW w:type="dxa" w:w="4320"/>
          </w:tcPr>
          <w:p>
            <w:r>
              <w:t>Ex-dividend ≤ 5 días (yield &gt; 0.3%)</w:t>
            </w:r>
          </w:p>
        </w:tc>
        <w:tc>
          <w:tcPr>
            <w:tcW w:type="dxa" w:w="4320"/>
          </w:tcPr>
          <w:p>
            <w:r>
              <w:t>-2★</w:t>
            </w:r>
          </w:p>
        </w:tc>
      </w:tr>
      <w:tr>
        <w:tc>
          <w:tcPr>
            <w:tcW w:type="dxa" w:w="4320"/>
          </w:tcPr>
          <w:p>
            <w:r>
              <w:t>Ex-dividend dentro del 40% del plazo</w:t>
            </w:r>
          </w:p>
        </w:tc>
        <w:tc>
          <w:tcPr>
            <w:tcW w:type="dxa" w:w="4320"/>
          </w:tcPr>
          <w:p>
            <w:r>
              <w:t>-1★</w:t>
            </w:r>
          </w:p>
        </w:tc>
      </w:tr>
      <w:tr>
        <w:tc>
          <w:tcPr>
            <w:tcW w:type="dxa" w:w="4320"/>
          </w:tcPr>
          <w:p>
            <w:r>
              <w:t>Precio &gt; 10% sobre target analistas</w:t>
            </w:r>
          </w:p>
        </w:tc>
        <w:tc>
          <w:tcPr>
            <w:tcW w:type="dxa" w:w="4320"/>
          </w:tcPr>
          <w:p>
            <w:r>
              <w:t>-1★</w:t>
            </w:r>
          </w:p>
        </w:tc>
      </w:tr>
      <w:tr>
        <w:tc>
          <w:tcPr>
            <w:tcW w:type="dxa" w:w="4320"/>
          </w:tcPr>
          <w:p>
            <w:r>
              <w:t>Mansfield RS &lt; -2 con SMA21 &gt; SMA50</w:t>
            </w:r>
          </w:p>
        </w:tc>
        <w:tc>
          <w:tcPr>
            <w:tcW w:type="dxa" w:w="4320"/>
          </w:tcPr>
          <w:p>
            <w:r>
              <w:t>-1★</w:t>
            </w:r>
          </w:p>
        </w:tc>
      </w:tr>
    </w:tbl>
    <w:p>
      <w:pPr>
        <w:pStyle w:val="Heading2"/>
      </w:pPr>
      <w:r>
        <w:t>Señal final (determine_final_signal)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Señal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&lt; 30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EVITAR</w:t>
            </w:r>
          </w:p>
        </w:tc>
      </w:tr>
      <w:tr>
        <w:tc>
          <w:tcPr>
            <w:tcW w:type="dxa" w:w="2160"/>
          </w:tcPr>
          <w:p>
            <w:r>
              <w:t>30–44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ESPERAR</w:t>
            </w:r>
          </w:p>
        </w:tc>
      </w:tr>
      <w:tr>
        <w:tc>
          <w:tcPr>
            <w:tcW w:type="dxa" w:w="2160"/>
          </w:tcPr>
          <w:p>
            <w:r>
              <w:t>≥ 50</w:t>
            </w:r>
          </w:p>
        </w:tc>
        <w:tc>
          <w:tcPr>
            <w:tcW w:type="dxa" w:w="2160"/>
          </w:tcPr>
          <w:p>
            <w:r>
              <w:t>cualquiera</w:t>
            </w:r>
          </w:p>
        </w:tc>
        <w:tc>
          <w:tcPr>
            <w:tcW w:type="dxa" w:w="2160"/>
          </w:tcPr>
          <w:p>
            <w:r>
              <w:t>≥ 72</w:t>
            </w:r>
          </w:p>
        </w:tc>
        <w:tc>
          <w:tcPr>
            <w:tcW w:type="dxa" w:w="2160"/>
          </w:tcPr>
          <w:p>
            <w:r>
              <w:t>MONITOREAR (esperar pullback RSI)</w:t>
            </w:r>
          </w:p>
        </w:tc>
      </w:tr>
      <w:tr>
        <w:tc>
          <w:tcPr>
            <w:tcW w:type="dxa" w:w="2160"/>
          </w:tcPr>
          <w:p>
            <w:r>
              <w:t>≥ 50</w:t>
            </w:r>
          </w:p>
        </w:tc>
        <w:tc>
          <w:tcPr>
            <w:tcW w:type="dxa" w:w="2160"/>
          </w:tcPr>
          <w:p>
            <w:r>
              <w:t>0–1★ con razones</w:t>
            </w:r>
          </w:p>
        </w:tc>
        <w:tc>
          <w:tcPr>
            <w:tcW w:type="dxa" w:w="2160"/>
          </w:tcPr>
          <w:p>
            <w:r>
              <w:t>&lt; 72</w:t>
            </w:r>
          </w:p>
        </w:tc>
        <w:tc>
          <w:tcPr>
            <w:tcW w:type="dxa" w:w="2160"/>
          </w:tcPr>
          <w:p>
            <w:r>
              <w:t>MONITOREAR (contexto desfavorable)</w:t>
            </w:r>
          </w:p>
        </w:tc>
      </w:tr>
      <w:tr>
        <w:tc>
          <w:tcPr>
            <w:tcW w:type="dxa" w:w="2160"/>
          </w:tcPr>
          <w:p>
            <w:r>
              <w:t>≥ 65</w:t>
            </w:r>
          </w:p>
        </w:tc>
        <w:tc>
          <w:tcPr>
            <w:tcW w:type="dxa" w:w="2160"/>
          </w:tcPr>
          <w:p>
            <w:r>
              <w:t>2–3★</w:t>
            </w:r>
          </w:p>
        </w:tc>
        <w:tc>
          <w:tcPr>
            <w:tcW w:type="dxa" w:w="2160"/>
          </w:tcPr>
          <w:p>
            <w:r>
              <w:t>&lt; 72</w:t>
            </w:r>
          </w:p>
        </w:tc>
        <w:tc>
          <w:tcPr>
            <w:tcW w:type="dxa" w:w="2160"/>
          </w:tcPr>
          <w:p>
            <w:r>
              <w:t>COMPRAR (high/medium confidence)</w:t>
            </w:r>
          </w:p>
        </w:tc>
      </w:tr>
      <w:tr>
        <w:tc>
          <w:tcPr>
            <w:tcW w:type="dxa" w:w="2160"/>
          </w:tcPr>
          <w:p>
            <w:r>
              <w:t>45–64</w:t>
            </w:r>
          </w:p>
        </w:tc>
        <w:tc>
          <w:tcPr>
            <w:tcW w:type="dxa" w:w="2160"/>
          </w:tcPr>
          <w:p>
            <w:r>
              <w:t>3★</w:t>
            </w:r>
          </w:p>
        </w:tc>
        <w:tc>
          <w:tcPr>
            <w:tcW w:type="dxa" w:w="2160"/>
          </w:tcPr>
          <w:p>
            <w:r>
              <w:t>&lt; 72</w:t>
            </w:r>
          </w:p>
        </w:tc>
        <w:tc>
          <w:tcPr>
            <w:tcW w:type="dxa" w:w="2160"/>
          </w:tcPr>
          <w:p>
            <w:r>
              <w:t>COMPRAR (medium confidence)</w:t>
            </w:r>
          </w:p>
        </w:tc>
      </w:tr>
      <w:tr>
        <w:tc>
          <w:tcPr>
            <w:tcW w:type="dxa" w:w="2160"/>
          </w:tcPr>
          <w:p>
            <w:r>
              <w:t>45–64</w:t>
            </w:r>
          </w:p>
        </w:tc>
        <w:tc>
          <w:tcPr>
            <w:tcW w:type="dxa" w:w="2160"/>
          </w:tcPr>
          <w:p>
            <w:r>
              <w:t>&lt; 3★</w:t>
            </w:r>
          </w:p>
        </w:tc>
        <w:tc>
          <w:tcPr>
            <w:tcW w:type="dxa" w:w="2160"/>
          </w:tcPr>
          <w:p>
            <w:r>
              <w:t>&lt; 72</w:t>
            </w:r>
          </w:p>
        </w:tc>
        <w:tc>
          <w:tcPr>
            <w:tcW w:type="dxa" w:w="2160"/>
          </w:tcPr>
          <w:p>
            <w:r>
              <w:t>COMPRAR (low confidence)</w:t>
            </w:r>
          </w:p>
        </w:tc>
      </w:tr>
    </w:tbl>
    <w:p>
      <w:pPr>
        <w:pStyle w:val="Heading2"/>
      </w:pPr>
      <w:r>
        <w:t>Niveles técnicos (calc_levels)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entryLow</w:t>
            </w:r>
          </w:p>
        </w:tc>
        <w:tc>
          <w:tcPr>
            <w:tcW w:type="dxa" w:w="2880"/>
          </w:tcPr>
          <w:p>
            <w:r>
              <w:t>SMA21 × 0.995</w:t>
            </w:r>
          </w:p>
        </w:tc>
        <w:tc>
          <w:tcPr>
            <w:tcW w:type="dxa" w:w="2880"/>
          </w:tcPr>
          <w:p>
            <w:r>
              <w:t>Límite inferior de la zona de compra</w:t>
            </w:r>
          </w:p>
        </w:tc>
      </w:tr>
      <w:tr>
        <w:tc>
          <w:tcPr>
            <w:tcW w:type="dxa" w:w="2880"/>
          </w:tcPr>
          <w:p>
            <w:r>
              <w:t>entryHigh</w:t>
            </w:r>
          </w:p>
        </w:tc>
        <w:tc>
          <w:tcPr>
            <w:tcW w:type="dxa" w:w="2880"/>
          </w:tcPr>
          <w:p>
            <w:r>
              <w:t>SMA21 × 1.010</w:t>
            </w:r>
          </w:p>
        </w:tc>
        <w:tc>
          <w:tcPr>
            <w:tcW w:type="dxa" w:w="2880"/>
          </w:tcPr>
          <w:p>
            <w:r>
              <w:t>Límite superior de la zona de compra</w:t>
            </w:r>
          </w:p>
        </w:tc>
      </w:tr>
      <w:tr>
        <w:tc>
          <w:tcPr>
            <w:tcW w:type="dxa" w:w="2880"/>
          </w:tcPr>
          <w:p>
            <w:r>
              <w:t>stopLoss</w:t>
            </w:r>
          </w:p>
        </w:tc>
        <w:tc>
          <w:tcPr>
            <w:tcW w:type="dxa" w:w="2880"/>
          </w:tcPr>
          <w:p>
            <w:r>
              <w:t>mínimo 20 días × 0.995</w:t>
            </w:r>
          </w:p>
        </w:tc>
        <w:tc>
          <w:tcPr>
            <w:tcW w:type="dxa" w:w="2880"/>
          </w:tcPr>
          <w:p>
            <w:r>
              <w:t>Anclado al soporte real. Sin floor porcentual.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max(máx 20d, entry_mid + riesgo × 2.5)</w:t>
            </w:r>
          </w:p>
        </w:tc>
        <w:tc>
          <w:tcPr>
            <w:tcW w:type="dxa" w:w="2880"/>
          </w:tcPr>
          <w:p>
            <w:r>
              <w:t>R:B mínimo 2.5x garantizado</w:t>
            </w:r>
          </w:p>
        </w:tc>
      </w:tr>
      <w:tr>
        <w:tc>
          <w:tcPr>
            <w:tcW w:type="dxa" w:w="2880"/>
          </w:tcPr>
          <w:p>
            <w:r>
              <w:t>max_days</w:t>
            </w:r>
          </w:p>
        </w:tc>
        <w:tc>
          <w:tcPr>
            <w:tcW w:type="dxa" w:w="2880"/>
          </w:tcPr>
          <w:p>
            <w:r>
              <w:t>distancia real al target / ATR</w:t>
            </w:r>
          </w:p>
        </w:tc>
        <w:tc>
          <w:tcPr>
            <w:tcW w:type="dxa" w:w="2880"/>
          </w:tcPr>
          <w:p>
            <w:r>
              <w:t>Dinámico por acción (10–30 días)</w:t>
            </w:r>
          </w:p>
        </w:tc>
      </w:tr>
    </w:tbl>
    <w:p>
      <w:pPr>
        <w:pStyle w:val="Heading2"/>
      </w:pPr>
      <w:r>
        <w:t>Endpoints swing</w:t>
      </w:r>
    </w:p>
    <w:p>
      <w:r>
        <w:t>GET /analyze/{ticker}  — análisis swing completo</w:t>
        <w:br/>
        <w:t>GET /screener         — candidatos del screener swing</w:t>
      </w:r>
    </w:p>
    <w:p>
      <w:pPr>
        <w:pStyle w:val="Heading2"/>
      </w:pPr>
      <w:r>
        <w:t>Componentes clave swing</w:t>
      </w:r>
    </w:p>
    <w:p>
      <w:r>
        <w:t>StockCard.jsx: Contiene Sparkline (gráfico 72px + modal 260px con crosshair). Props: ticker, session, cachedData, onAnalysed, onRemove, onMonitor, isInMonitorTab, activeTrade, lastClosedTrade, hideRemove. hideRemove=true cuando se abre desde tabla (evita eliminación accidental).</w:t>
        <w:br/>
        <w:br/>
        <w:t>WatchlistTable (en App.jsx): Columnas ordenables — ticker, score, signal, rsi, dist, rr, contexto (★). SIGNAL_ORDER = { buy:0, monitor:1, hold:2, avoid:3, sell:4 }. distPct() calcula % de distancia al punto medio del rango de entrada.</w:t>
        <w:br/>
        <w:br/>
        <w:t>Journal.jsx: CRUD completo sobre tabla journal. _originalStatus para detectar si trade ya estaba cerrado al abrir modal. tradeToDb asigna exit_date = today solo si _originalStatus !== "closed".</w:t>
      </w:r>
    </w:p>
    <w:p>
      <w:pPr>
        <w:pStyle w:val="Heading1"/>
      </w:pPr>
      <w:r>
        <w:t>MÓDULO POSITION TRADING</w:t>
      </w:r>
    </w:p>
    <w:p>
      <w:r>
        <w:t>Tabs: Watchlist · Screener · Mercado · Journal · Dashboard</w:t>
      </w:r>
    </w:p>
    <w:p>
      <w:pPr>
        <w:pStyle w:val="Heading2"/>
      </w:pPr>
      <w:r>
        <w:t>Scorecard — 7 criterios (MAX_SCORE = 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Escala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Automático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narrativa</w:t>
            </w:r>
          </w:p>
        </w:tc>
        <w:tc>
          <w:tcPr>
            <w:tcW w:type="dxa" w:w="1728"/>
          </w:tcPr>
          <w:p>
            <w:r>
              <w:t>×3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Claude Haiku</w:t>
            </w:r>
          </w:p>
        </w:tc>
        <w:tc>
          <w:tcPr>
            <w:tcW w:type="dxa" w:w="1728"/>
          </w:tcPr>
          <w:p>
            <w:r>
              <w:t>Catalizador estructural de crecimiento</w:t>
            </w:r>
          </w:p>
        </w:tc>
      </w:tr>
      <w:tr>
        <w:tc>
          <w:tcPr>
            <w:tcW w:type="dxa" w:w="1728"/>
          </w:tcPr>
          <w:p>
            <w:r>
              <w:t>precio_sma200</w:t>
            </w:r>
          </w:p>
        </w:tc>
        <w:tc>
          <w:tcPr>
            <w:tcW w:type="dxa" w:w="1728"/>
          </w:tcPr>
          <w:p>
            <w:r>
              <w:t>×3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Gradual: &gt;15%=3, 5-15%=2, 0-5%=1, bajo=0+VETO</w:t>
            </w:r>
          </w:p>
        </w:tc>
      </w:tr>
      <w:tr>
        <w:tc>
          <w:tcPr>
            <w:tcW w:type="dxa" w:w="1728"/>
          </w:tcPr>
          <w:p>
            <w:r>
              <w:t>estructura_tecnica</w:t>
            </w:r>
          </w:p>
        </w:tc>
        <w:tc>
          <w:tcPr>
            <w:tcW w:type="dxa" w:w="1728"/>
          </w:tcPr>
          <w:p>
            <w:r>
              <w:t>×3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 (Stage + HH/HL)</w:t>
            </w:r>
          </w:p>
        </w:tc>
        <w:tc>
          <w:tcPr>
            <w:tcW w:type="dxa" w:w="1728"/>
          </w:tcPr>
          <w:p>
            <w:r>
              <w:t>Stage 2 fuerte+HH/HL=3, Stage 2+HH/HL=3, Stage 2 tardío=2, Stage 1=1</w:t>
            </w:r>
          </w:p>
        </w:tc>
      </w:tr>
      <w:tr>
        <w:tc>
          <w:tcPr>
            <w:tcW w:type="dxa" w:w="1728"/>
          </w:tcPr>
          <w:p>
            <w:r>
              <w:t>rs_relativa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 (Mansfield RS)</w:t>
            </w:r>
          </w:p>
        </w:tc>
        <w:tc>
          <w:tcPr>
            <w:tcW w:type="dxa" w:w="1728"/>
          </w:tcPr>
          <w:p>
            <w:r>
              <w:t>Bonus +1 si lidera sector (rs_sector &gt; 1)</w:t>
            </w:r>
          </w:p>
        </w:tc>
      </w:tr>
      <w:tr>
        <w:tc>
          <w:tcPr>
            <w:tcW w:type="dxa" w:w="1728"/>
          </w:tcPr>
          <w:p>
            <w:r>
              <w:t>calidad_fundamental</w:t>
            </w:r>
          </w:p>
        </w:tc>
        <w:tc>
          <w:tcPr>
            <w:tcW w:type="dxa" w:w="1728"/>
          </w:tcPr>
          <w:p>
            <w:r>
              <w:t>×3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 (AV OVERVIEW)</w:t>
            </w:r>
          </w:p>
        </w:tc>
        <w:tc>
          <w:tcPr>
            <w:tcW w:type="dxa" w:w="1728"/>
          </w:tcPr>
          <w:p>
            <w:r>
              <w:t>Rev+EPS+FCF/márgenes</w:t>
            </w:r>
          </w:p>
        </w:tc>
      </w:tr>
      <w:tr>
        <w:tc>
          <w:tcPr>
            <w:tcW w:type="dxa" w:w="1728"/>
          </w:tcPr>
          <w:p>
            <w:r>
              <w:t>punto_entrada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Breakout con vol / pullback SMA50 / extendido</w:t>
            </w:r>
          </w:p>
        </w:tc>
      </w:tr>
      <w:tr>
        <w:tc>
          <w:tcPr>
            <w:tcW w:type="dxa" w:w="1728"/>
          </w:tcPr>
          <w:p>
            <w:r>
              <w:t>ratio_rr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0–3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R/R 2.5x fijo, veto si &lt; 2</w:t>
            </w:r>
          </w:p>
        </w:tc>
      </w:tr>
    </w:tbl>
    <w:p>
      <w:r>
        <w:t>Decisiones: ≥32 → OPERAR CON CONVICCIÓN | 22–31 → OPERAR CON CAUTELA | &lt;22 → NO OPERAR</w:t>
        <w:br/>
        <w:t>Vetos absolutos: precio_sma200 === 0 (precio bajo SMA200) → VETO | ratio_rr &lt; 2 → VETO</w:t>
        <w:br/>
        <w:t>Ajuste macro: SPY &lt; SMA200 → score_total -= 4 (penalización Weinstein)</w:t>
      </w:r>
    </w:p>
    <w:p>
      <w:pPr>
        <w:pStyle w:val="Heading2"/>
      </w:pPr>
      <w:r>
        <w:t>Lógica estructura_tecnica (Stage + HH/HL)</w:t>
      </w:r>
    </w:p>
    <w:p>
      <w:r>
        <w:t>Combina Stage Weinstein + HH/HL. La pendiente de SMA30 semanal distingue Stage 2 emergente de Stage 2 tardío.</w:t>
        <w:br/>
        <w:br/>
        <w:t>stage == 2 y slope &gt; 1.5%  → stage_base = 3  (Stage 2 fuerte, acelerando)</w:t>
        <w:br/>
        <w:t>stage == 2 y slope 0.5–1.5% → stage_base = 2  (Stage 2 establecido)</w:t>
        <w:br/>
        <w:t>stage == 2 y slope &lt; 0.5%  → stage_base = 1  (Stage 2 tardío — distribución inminente)</w:t>
        <w:br/>
        <w:t>stage == 1                 → stage_base = 1  (Acumulación)</w:t>
        <w:br/>
        <w:t>stage 3/4/None             → stage_base = 0  (Penaliza)</w:t>
        <w:br/>
        <w:br/>
        <w:t>hh_bonus = 1 si hh_hl_score &gt;= 2 AND stage_base &gt; 0</w:t>
        <w:br/>
        <w:t>struct_score = min(3, stage_base + hh_bonus)</w:t>
      </w:r>
    </w:p>
    <w:p>
      <w:pPr>
        <w:pStyle w:val="Heading2"/>
      </w:pPr>
      <w:r>
        <w:t>Entry / Stop / Target position</w:t>
      </w:r>
    </w:p>
    <w:p>
      <w:r>
        <w:t>Entrada: precio si near_52w_high (breakout), else SMA50 (pullback)</w:t>
        <w:br/>
        <w:t>Stop: base_low_weekly × 0.98 (soporte real de la base semanal detectada)</w:t>
        <w:br/>
        <w:t>Fallback stop: min(lows[-10:]) × 0.98 si no hay base</w:t>
        <w:br/>
        <w:t>Target: entry + (entry - stop) × 2.5  →  R/R siempre ~2.5</w:t>
      </w:r>
    </w:p>
    <w:p>
      <w:pPr>
        <w:pStyle w:val="Heading2"/>
      </w:pPr>
      <w:r>
        <w:t>Sizing calculator (PositionCard)</w:t>
      </w:r>
    </w:p>
    <w:p>
      <w:r>
        <w:t>Inputs en tarjeta: capital (USD) + % riesgo (default 1%).</w:t>
        <w:br/>
        <w:t>Calcula: acciones = (capital × riskPct) / (entry - stop)</w:t>
        <w:br/>
        <w:t>Muestra: número de acciones, monto invertido, ganancia potencial (vs target), pérdida máxima (vs stop).</w:t>
      </w:r>
    </w:p>
    <w:p>
      <w:pPr>
        <w:pStyle w:val="Heading2"/>
      </w:pPr>
      <w:r>
        <w:t>Badges y warnings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Badge caché viejo</w:t>
            </w:r>
          </w:p>
        </w:tc>
        <w:tc>
          <w:tcPr>
            <w:tcW w:type="dxa" w:w="4320"/>
          </w:tcPr>
          <w:p>
            <w:r>
              <w:t>&gt;24h → naranja, &gt;48h → rojo. En tarjeta y tabla.</w:t>
            </w:r>
          </w:p>
        </w:tc>
      </w:tr>
      <w:tr>
        <w:tc>
          <w:tcPr>
            <w:tcW w:type="dxa" w:w="4320"/>
          </w:tcPr>
          <w:p>
            <w:r>
              <w:t>Earnings warning</w:t>
            </w:r>
          </w:p>
        </w:tc>
        <w:tc>
          <w:tcPr>
            <w:tcW w:type="dxa" w:w="4320"/>
          </w:tcPr>
          <w:p>
            <w:r>
              <w:t>&lt;7d → banner rojo, 7–14d → naranja. Tabla: badge "E{días}d" en columna DECISIÓN.</w:t>
            </w:r>
          </w:p>
        </w:tc>
      </w:tr>
      <w:tr>
        <w:tc>
          <w:tcPr>
            <w:tcW w:type="dxa" w:w="4320"/>
          </w:tcPr>
          <w:p>
            <w:r>
              <w:t>Ex-dividend warning</w:t>
            </w:r>
          </w:p>
        </w:tc>
        <w:tc>
          <w:tcPr>
            <w:tcW w:type="dxa" w:w="4320"/>
          </w:tcPr>
          <w:p>
            <w:r>
              <w:t>&lt;7d → rojo, 7–14d → naranja. Solo si dividendYield &gt; 0.3%.</w:t>
            </w:r>
          </w:p>
        </w:tc>
      </w:tr>
      <w:tr>
        <w:tc>
          <w:tcPr>
            <w:tcW w:type="dxa" w:w="4320"/>
          </w:tcPr>
          <w:p>
            <w:r>
              <w:t>RS SPY sin cap</w:t>
            </w:r>
          </w:p>
        </w:tc>
        <w:tc>
          <w:tcPr>
            <w:tcW w:type="dxa" w:w="4320"/>
          </w:tcPr>
          <w:p>
            <w:r>
              <w:t>Valor real en % (ej: +43% vs SPY). Scoring interno sigue usando normalizado.</w:t>
            </w:r>
          </w:p>
        </w:tc>
      </w:tr>
      <w:tr>
        <w:tc>
          <w:tcPr>
            <w:tcW w:type="dxa" w:w="4320"/>
          </w:tcPr>
          <w:p>
            <w:r>
              <w:t>Confidence score</w:t>
            </w:r>
          </w:p>
        </w:tc>
        <w:tc>
          <w:tcPr>
            <w:tcW w:type="dxa" w:w="4320"/>
          </w:tcPr>
          <w:p>
            <w:r>
              <w:t>Cuántos de los 7 criterios tienen datos reales vs defaults. Alta (≥6/7), Media (4/7), Baja (&lt;4/7).</w:t>
            </w:r>
          </w:p>
        </w:tc>
      </w:tr>
    </w:tbl>
    <w:p>
      <w:pPr>
        <w:pStyle w:val="Heading2"/>
      </w:pPr>
      <w:r>
        <w:t>Endpoints position</w:t>
      </w:r>
    </w:p>
    <w:p>
      <w:r>
        <w:t>GET  /analyze-position/{ticker}  — análisis completo + scorecard</w:t>
        <w:br/>
        <w:t>GET  /screener-position          — candidatos (lee data/screener_position.json)</w:t>
        <w:br/>
        <w:t>POST /screener-position/refresh  — trigger manual de refresh</w:t>
        <w:br/>
        <w:t>GET  /sector-rotation            — RS Mansfield 11 sectores SPDR vs SPY (cache 1h)</w:t>
      </w:r>
    </w:p>
    <w:p>
      <w:pPr>
        <w:pStyle w:val="Heading2"/>
      </w:pPr>
      <w:r>
        <w:t>Componentes clave position</w:t>
      </w:r>
    </w:p>
    <w:p>
      <w:r>
        <w:t>PositionCard: Auto-analiza SOLO si no hay cache (hasFetched ref). Botón ↻ individual re-analiza y actualiza cache. Warnings: Stage 4, mercado bajista (SPY &lt; SMA200), earnings, ex-dividend, caché viejo. Score bar con decisión color-coded, vetos destacados. Sizing calculator integrado. Scorecard expandible.</w:t>
        <w:br/>
        <w:br/>
        <w:t>PositionWatchlistTable: Columnas — ticker, precio, score/51, decisión, RSI, RS SPY, Stage, macro ▲/▼, sector, acciones. Click fila → modal con PositionCard.</w:t>
        <w:br/>
        <w:br/>
        <w:t>PositionScreener: Candidatos Finviz vía /api/screener-position. Badge "Base Nsem" (verde=sound, ámbar=short). Filtros por sector.</w:t>
        <w:br/>
        <w:br/>
        <w:t>SectorRotation (tab Mercado): 11 sectores SPDR ordenados por RS Mansfield desc. Badges TOP/WEAK. Cache 1h.</w:t>
        <w:br/>
        <w:br/>
        <w:t>PositionJournal: CRUD sobre tabla position_trades.</w:t>
        <w:br/>
        <w:br/>
        <w:t>PositionDashboard: P&amp;L mensual, win rate, win rate por decisión (convicción/cautela).</w:t>
      </w:r>
    </w:p>
    <w:p>
      <w:pPr>
        <w:pStyle w:val="Heading2"/>
      </w:pPr>
      <w:r>
        <w:t>Screener position (GitHub Actions)</w:t>
      </w:r>
    </w:p>
    <w:p>
      <w:r>
        <w:t>Cron: 0 14 * * 1 (lunes 14:00 UTC = 10:00 AM ET)</w:t>
        <w:br/>
        <w:t>Script: scripts/run_screener_position.py</w:t>
        <w:br/>
        <w:t xml:space="preserve">  1. Scraping Finviz con filtros: Precio&gt;SMA200, SMA50&gt;SMA200 (golden cross), RSI 40–65, Vol&gt;500k, Cap&gt;$300M, NYSE+NASDAQ</w:t>
        <w:br/>
        <w:t xml:space="preserve">  2. Enriquece con AV OVERVIEW (revGrowth, epsGrowth, mktCap, sector, industry)</w:t>
        <w:br/>
        <w:t xml:space="preserve">  3. Llama AV Weekly Adjusted por candidato → weeksInBase + baseQuality</w:t>
        <w:br/>
        <w:t xml:space="preserve">  4. Fallback: datos previos → lista curada 20 large-caps</w:t>
        <w:br/>
        <w:t xml:space="preserve">  5. Guarda data/screener_position.json y hace commit</w:t>
        <w:br/>
        <w:t xml:space="preserve">  6. Actualiza data/screener_position_history.json (máx 52 semanas acumuladas)</w:t>
      </w:r>
    </w:p>
    <w:p>
      <w:pPr>
        <w:pStyle w:val="Heading2"/>
      </w:pPr>
      <w:r>
        <w:t>Patrón crítico — upsertAll</w:t>
      </w:r>
    </w:p>
    <w:p>
      <w:r>
        <w:t>NUNCA hacer upserts parciales. Siempre escribir todos los campos juntos:</w:t>
        <w:br/>
        <w:br/>
        <w:t>supabase.from('watchlist').upsert({</w:t>
        <w:br/>
        <w:t xml:space="preserve">  user_id:            session.user.id,</w:t>
        <w:br/>
        <w:t xml:space="preserve">  position_watchlist: wl    ?? watchlistRef.current,</w:t>
        <w:br/>
        <w:t xml:space="preserve">  position_cache:     cache ?? posCacheRef.current,</w:t>
        <w:br/>
        <w:t xml:space="preserve">  updated_at:         new Date().toISOString(),</w:t>
        <w:br/>
        <w:t>}, { onConflict:'user_id' })</w:t>
        <w:br/>
        <w:br/>
        <w:t>Refs obligatorios: watchlistRef, posCacheRef, dbLoaded, listsReady, saveTimer.</w:t>
        <w:br/>
        <w:t>Guard listsReady evita que el primer render vacíe el cache al cargar desde Supabase.</w:t>
      </w:r>
    </w:p>
    <w:p>
      <w:pPr>
        <w:pStyle w:val="Heading2"/>
      </w:pPr>
      <w:r>
        <w:t>Paleta de colores</w:t>
      </w:r>
    </w:p>
    <w:p>
      <w:r>
        <w:t>bg:'#070d1a', card:'#0f1929', border:'#1a2d45'</w:t>
        <w:br/>
        <w:t>accent:'#00d4ff' (cyan), green:'#00e096', red:'#ff4060'</w:t>
        <w:br/>
        <w:t>amber:'#ffb800', text:'#dde6f0', muted:'#4a6080'</w:t>
        <w:br/>
        <w:t>SMA21 en charts swing: '#fb923c' (naranja)</w:t>
      </w:r>
    </w:p>
    <w:p>
      <w:pPr>
        <w:pStyle w:val="Heading2"/>
      </w:pPr>
      <w:r>
        <w:t>Convenciones</w:t>
      </w:r>
    </w:p>
    <w:p>
      <w:r>
        <w:t>- Tests swing: python3 scripts/test_scoring.py (45 tests)</w:t>
        <w:br/>
        <w:t>- Tests position: python3 scripts/test_position_scoring.py (36 tests)</w:t>
        <w:br/>
        <w:t>- Commits con Co-Authored-By: Claude Sonnet 4.6 &lt;noreply@anthropic.com&gt;</w:t>
        <w:br/>
        <w:t>- Push: git pull --rebase origin main &amp;&amp; git push origin main</w:t>
        <w:br/>
        <w:t>- Todos los estilos inline (sin CSS externo ni Tailwind)</w:t>
        <w:br/>
        <w:t>- fontFamily:"monospace" para números/tickers</w:t>
      </w:r>
    </w:p>
    <w:p>
      <w:pPr>
        <w:pStyle w:val="Heading2"/>
      </w:pPr>
      <w:r>
        <w:t>Gotchas importantes</w:t>
      </w:r>
    </w:p>
    <w:p>
      <w:pPr>
        <w:pStyle w:val="ListNumber"/>
      </w:pPr>
      <w:r>
        <w:t>Recharts wrapper bug: LineChart debe ser hijo directo de ResponsiveContainer. Extraerlo a un componente intermedio rompe el render.</w:t>
      </w:r>
    </w:p>
    <w:p>
      <w:pPr>
        <w:pStyle w:val="ListNumber"/>
      </w:pPr>
      <w:r>
        <w:t>upsertAll() obligatorio: Nunca hacer upserts parciales a watchlist.</w:t>
      </w:r>
    </w:p>
    <w:p>
      <w:pPr>
        <w:pStyle w:val="ListNumber"/>
      </w:pPr>
      <w:r>
        <w:t>dbLoaded.current ref: El useEffect con guard "if (!dbLoaded.current) return" evita sobrescribir Supabase con state inicial vacío al montar.</w:t>
      </w:r>
    </w:p>
    <w:p>
      <w:pPr>
        <w:pStyle w:val="ListNumber"/>
      </w:pPr>
      <w:r>
        <w:t>hasFetched ref en PositionCard: Evita re-analizar al navegar entre tabs.</w:t>
      </w:r>
    </w:p>
    <w:p>
      <w:pPr>
        <w:pStyle w:val="ListNumber"/>
      </w:pPr>
      <w:r>
        <w:t>exit_date legacy: Trades cerrados antes de v17 tienen exit_date = null. Dashboard usa t.exitDate || t.date como fallback.</w:t>
      </w:r>
    </w:p>
    <w:p>
      <w:pPr>
        <w:pStyle w:val="ListNumber"/>
      </w:pPr>
      <w:r>
        <w:t>hideRemove prop (swing): hideRemove=true cuando StockCard se abre desde modal de tabla.</w:t>
      </w:r>
    </w:p>
    <w:p>
      <w:pPr>
        <w:pStyle w:val="ListNumber"/>
      </w:pPr>
      <w:r>
        <w:t>Alpha Vantage: Plan premium. Precio con 15 min delay. Email personal (política NASDAQ).</w:t>
      </w:r>
    </w:p>
    <w:p>
      <w:pPr>
        <w:pStyle w:val="ListNumber"/>
      </w:pPr>
      <w:r>
        <w:t>Screener cron: GitHub Actions puede tener 1–1.5h de delay real.</w:t>
      </w:r>
    </w:p>
    <w:p>
      <w:pPr>
        <w:pStyle w:val="ListNumber"/>
      </w:pPr>
      <w:r>
        <w:t>detect_hh_hl requiere oscilaciones reales: Tendencias lineales sin pullbacks producen score=0. Correcto — en datos reales siempre hay oscilaciones.</w:t>
      </w:r>
    </w:p>
    <w:p>
      <w:pPr>
        <w:pStyle w:val="ListNumber"/>
      </w:pPr>
      <w:r>
        <w:t>analyze_base con tendencia alcista larga: Puede detectar base con range 20–35% si la acción lleva semanas subiendo. Stop más lejano. Técnicamente válido para position trading.</w:t>
      </w:r>
    </w:p>
    <w:p>
      <w:pPr>
        <w:pStyle w:val="ListNumber"/>
      </w:pPr>
      <w:r>
        <w:t>Haiku no conoce noticias recientes: El prompt usa datos históricos de AV. Siempre revisar noticias antes de ejecutar.</w:t>
      </w:r>
    </w:p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Cambios principales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v21.0</w:t>
            </w:r>
          </w:p>
        </w:tc>
        <w:tc>
          <w:tcPr>
            <w:tcW w:type="dxa" w:w="4320"/>
          </w:tcPr>
          <w:p>
            <w:r>
              <w:t>Sizing calculator en PositionCard. Badge caché viejo. Earnings/ex-dividend warnings prominentes. RS SPY sin cap (valor real %). Confidence score del análisis.</w:t>
            </w:r>
          </w:p>
        </w:tc>
      </w:tr>
      <w:tr>
        <w:tc>
          <w:tcPr>
            <w:tcW w:type="dxa" w:w="4320"/>
          </w:tcPr>
          <w:p>
            <w:r>
              <w:t>v20.0</w:t>
            </w:r>
          </w:p>
        </w:tc>
        <w:tc>
          <w:tcPr>
            <w:tcW w:type="dxa" w:w="4320"/>
          </w:tcPr>
          <w:p>
            <w:r>
              <w:t>estructura_tecnica: Stage 2 tardío vs emergente (slope SMA30). Volumen breakout corregido. Haiku conservador. weeks_in_base en screener. Sector Rotation tab. 36 tests position.</w:t>
            </w:r>
          </w:p>
        </w:tc>
      </w:tr>
      <w:tr>
        <w:tc>
          <w:tcPr>
            <w:tcW w:type="dxa" w:w="4320"/>
          </w:tcPr>
          <w:p>
            <w:r>
              <w:t>v19.0</w:t>
            </w:r>
          </w:p>
        </w:tc>
        <w:tc>
          <w:tcPr>
            <w:tcW w:type="dxa" w:w="4320"/>
          </w:tcPr>
          <w:p>
            <w:r>
              <w:t>Módulo Position Trading completo: watchlist con tarjetas/tabla, cache persistido, screener semanal, journal, dashboard. Selector de módulos. Rename a KNNS TradeAgent.</w:t>
            </w:r>
          </w:p>
        </w:tc>
      </w:tr>
      <w:tr>
        <w:tc>
          <w:tcPr>
            <w:tcW w:type="dxa" w:w="4320"/>
          </w:tcPr>
          <w:p>
            <w:r>
              <w:t>v18.0</w:t>
            </w:r>
          </w:p>
        </w:tc>
        <w:tc>
          <w:tcPr>
            <w:tcW w:type="dxa" w:w="4320"/>
          </w:tcPr>
          <w:p>
            <w:r>
              <w:t>Mini chart 30d + SMA21 + crosshair, tabla comparativa con ordenamiento/filtros, persistencia analysisCache en Supabase, búsqueda en Journal, exit_date para Dashboard mensual.</w:t>
            </w:r>
          </w:p>
        </w:tc>
      </w:tr>
      <w:tr>
        <w:tc>
          <w:tcPr>
            <w:tcW w:type="dxa" w:w="4320"/>
          </w:tcPr>
          <w:p>
            <w:r>
              <w:t>v17.0</w:t>
            </w:r>
          </w:p>
        </w:tc>
        <w:tc>
          <w:tcPr>
            <w:tcW w:type="dxa" w:w="4320"/>
          </w:tcPr>
          <w:p>
            <w:r>
              <w:t>exit_date para Dashboard mensual, confirmación al cerrar/reabrir trade, Dashboard ComposedChart, entryZone 4 estados.</w:t>
            </w:r>
          </w:p>
        </w:tc>
      </w:tr>
      <w:tr>
        <w:tc>
          <w:tcPr>
            <w:tcW w:type="dxa" w:w="4320"/>
          </w:tcPr>
          <w:p>
            <w:r>
              <w:t>v16.x</w:t>
            </w:r>
          </w:p>
        </w:tc>
        <w:tc>
          <w:tcPr>
            <w:tcW w:type="dxa" w:w="4320"/>
          </w:tcPr>
          <w:p>
            <w:r>
              <w:t>Mansfield RS, momentum 4 semanas, score breakdown, banner ex-dividend.</w:t>
            </w:r>
          </w:p>
        </w:tc>
      </w:tr>
      <w:tr>
        <w:tc>
          <w:tcPr>
            <w:tcW w:type="dxa" w:w="4320"/>
          </w:tcPr>
          <w:p>
            <w:r>
              <w:t>v15.x</w:t>
            </w:r>
          </w:p>
        </w:tc>
        <w:tc>
          <w:tcPr>
            <w:tcW w:type="dxa" w:w="4320"/>
          </w:tcPr>
          <w:p>
            <w:r>
              <w:t>Sistema de estrellas de contexto, señal monitor, botón En Seguimiento.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